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250" w:type="pct"/>
        <w:jc w:val="center"/>
        <w:tblCellSpacing w:w="0" w:type="dxa"/>
        <w:tblCellMar>
          <w:left w:w="0" w:type="dxa"/>
          <w:right w:w="0" w:type="dxa"/>
        </w:tblCellMar>
        <w:tblLook w:val="04A0"/>
      </w:tblPr>
      <w:tblGrid>
        <w:gridCol w:w="8306"/>
      </w:tblGrid>
      <w:tr w:rsidR="0058212D" w:rsidRPr="0058212D">
        <w:trPr>
          <w:trHeight w:val="1200"/>
          <w:tblCellSpacing w:w="0" w:type="dxa"/>
          <w:jc w:val="center"/>
        </w:trPr>
        <w:tc>
          <w:tcPr>
            <w:tcW w:w="0" w:type="auto"/>
            <w:vAlign w:val="center"/>
            <w:hideMark/>
          </w:tcPr>
          <w:p w:rsidR="0058212D" w:rsidRPr="0058212D" w:rsidRDefault="0058212D" w:rsidP="0058212D">
            <w:pPr>
              <w:wordWrap w:val="0"/>
              <w:adjustRightInd/>
              <w:snapToGrid/>
              <w:spacing w:after="0"/>
              <w:jc w:val="center"/>
              <w:rPr>
                <w:rFonts w:ascii="宋体" w:eastAsia="宋体" w:hAnsi="宋体" w:cs="宋体"/>
                <w:b/>
                <w:bCs/>
                <w:color w:val="000000"/>
                <w:sz w:val="21"/>
                <w:szCs w:val="21"/>
              </w:rPr>
            </w:pPr>
            <w:r w:rsidRPr="0058212D">
              <w:rPr>
                <w:rFonts w:ascii="宋体" w:eastAsia="宋体" w:hAnsi="宋体" w:cs="宋体"/>
                <w:b/>
                <w:bCs/>
                <w:color w:val="000000"/>
                <w:sz w:val="21"/>
                <w:szCs w:val="21"/>
              </w:rPr>
              <w:t xml:space="preserve">关于2009年全国特种设备安全状况的情况通报 </w:t>
            </w:r>
          </w:p>
        </w:tc>
      </w:tr>
      <w:tr w:rsidR="0058212D" w:rsidRPr="0058212D">
        <w:trPr>
          <w:trHeight w:val="30"/>
          <w:tblCellSpacing w:w="0" w:type="dxa"/>
          <w:jc w:val="center"/>
        </w:trPr>
        <w:tc>
          <w:tcPr>
            <w:tcW w:w="0" w:type="auto"/>
            <w:shd w:val="clear" w:color="auto" w:fill="CC0000"/>
            <w:vAlign w:val="center"/>
            <w:hideMark/>
          </w:tcPr>
          <w:p w:rsidR="0058212D" w:rsidRPr="0058212D" w:rsidRDefault="0058212D" w:rsidP="0058212D">
            <w:pPr>
              <w:wordWrap w:val="0"/>
              <w:adjustRightInd/>
              <w:snapToGrid/>
              <w:spacing w:after="0"/>
              <w:jc w:val="center"/>
              <w:rPr>
                <w:rFonts w:ascii="宋体" w:eastAsia="宋体" w:hAnsi="宋体" w:cs="宋体"/>
                <w:color w:val="000000"/>
                <w:sz w:val="4"/>
                <w:szCs w:val="18"/>
              </w:rPr>
            </w:pPr>
          </w:p>
        </w:tc>
      </w:tr>
      <w:tr w:rsidR="0058212D" w:rsidRPr="0058212D">
        <w:trPr>
          <w:trHeight w:val="225"/>
          <w:tblCellSpacing w:w="0" w:type="dxa"/>
          <w:jc w:val="center"/>
        </w:trPr>
        <w:tc>
          <w:tcPr>
            <w:tcW w:w="0" w:type="auto"/>
            <w:vAlign w:val="center"/>
            <w:hideMark/>
          </w:tcPr>
          <w:p w:rsidR="0058212D" w:rsidRPr="0058212D" w:rsidRDefault="0058212D" w:rsidP="0058212D">
            <w:pPr>
              <w:wordWrap w:val="0"/>
              <w:adjustRightInd/>
              <w:snapToGrid/>
              <w:spacing w:after="0"/>
              <w:rPr>
                <w:rFonts w:ascii="宋体" w:eastAsia="宋体" w:hAnsi="宋体" w:cs="宋体"/>
                <w:color w:val="000000"/>
                <w:sz w:val="18"/>
                <w:szCs w:val="18"/>
              </w:rPr>
            </w:pPr>
          </w:p>
        </w:tc>
      </w:tr>
      <w:tr w:rsidR="0058212D" w:rsidRPr="0058212D">
        <w:trPr>
          <w:tblCellSpacing w:w="0" w:type="dxa"/>
          <w:jc w:val="center"/>
        </w:trPr>
        <w:tc>
          <w:tcPr>
            <w:tcW w:w="0" w:type="auto"/>
            <w:vAlign w:val="center"/>
            <w:hideMark/>
          </w:tcPr>
          <w:p w:rsidR="0058212D" w:rsidRPr="0058212D" w:rsidRDefault="0058212D" w:rsidP="0058212D">
            <w:pPr>
              <w:wordWrap w:val="0"/>
              <w:adjustRightInd/>
              <w:snapToGrid/>
              <w:spacing w:after="0"/>
              <w:jc w:val="center"/>
              <w:rPr>
                <w:rFonts w:ascii="宋体" w:eastAsia="宋体" w:hAnsi="宋体" w:cs="宋体"/>
                <w:color w:val="000000"/>
                <w:sz w:val="18"/>
                <w:szCs w:val="18"/>
              </w:rPr>
            </w:pPr>
          </w:p>
        </w:tc>
      </w:tr>
      <w:tr w:rsidR="0058212D" w:rsidRPr="0058212D">
        <w:trPr>
          <w:tblCellSpacing w:w="0" w:type="dxa"/>
          <w:jc w:val="center"/>
        </w:trPr>
        <w:tc>
          <w:tcPr>
            <w:tcW w:w="5000" w:type="pct"/>
            <w:vAlign w:val="center"/>
            <w:hideMark/>
          </w:tcPr>
          <w:p w:rsidR="0058212D" w:rsidRPr="0058212D" w:rsidRDefault="0058212D" w:rsidP="0058212D">
            <w:pPr>
              <w:wordWrap w:val="0"/>
              <w:adjustRightInd/>
              <w:snapToGrid/>
              <w:spacing w:after="0" w:line="600" w:lineRule="atLeast"/>
              <w:jc w:val="center"/>
              <w:rPr>
                <w:rFonts w:ascii="宋体" w:eastAsia="宋体" w:hAnsi="宋体" w:cs="宋体"/>
                <w:color w:val="000000"/>
                <w:sz w:val="18"/>
                <w:szCs w:val="18"/>
              </w:rPr>
            </w:pPr>
            <w:r w:rsidRPr="0058212D">
              <w:rPr>
                <w:rFonts w:ascii="方正小标宋简体" w:eastAsia="方正小标宋简体" w:hAnsi="宋体" w:cs="宋体" w:hint="eastAsia"/>
                <w:color w:val="000000"/>
                <w:sz w:val="36"/>
                <w:szCs w:val="36"/>
              </w:rPr>
              <w:t>关于2009年全国特种设备安全状况的情况通报</w:t>
            </w:r>
          </w:p>
          <w:p w:rsidR="0058212D" w:rsidRPr="0058212D" w:rsidRDefault="0058212D" w:rsidP="0058212D">
            <w:pPr>
              <w:wordWrap w:val="0"/>
              <w:adjustRightInd/>
              <w:snapToGrid/>
              <w:spacing w:after="0" w:line="600" w:lineRule="atLeast"/>
              <w:ind w:firstLine="640"/>
              <w:rPr>
                <w:rFonts w:ascii="宋体" w:eastAsia="宋体" w:hAnsi="宋体" w:cs="宋体"/>
                <w:color w:val="000000"/>
                <w:sz w:val="18"/>
                <w:szCs w:val="18"/>
              </w:rPr>
            </w:pPr>
            <w:r w:rsidRPr="0058212D">
              <w:rPr>
                <w:rFonts w:ascii="宋体" w:eastAsia="宋体" w:hAnsi="宋体" w:cs="宋体"/>
                <w:color w:val="000000"/>
                <w:sz w:val="18"/>
                <w:szCs w:val="18"/>
              </w:rPr>
              <w:t> </w:t>
            </w:r>
          </w:p>
          <w:p w:rsidR="0058212D" w:rsidRPr="0058212D" w:rsidRDefault="0058212D" w:rsidP="0058212D">
            <w:pPr>
              <w:wordWrap w:val="0"/>
              <w:adjustRightInd/>
              <w:snapToGrid/>
              <w:spacing w:after="0" w:line="600" w:lineRule="atLeast"/>
              <w:ind w:firstLine="640"/>
              <w:rPr>
                <w:rFonts w:ascii="宋体" w:eastAsia="宋体" w:hAnsi="宋体" w:cs="宋体"/>
                <w:color w:val="000000"/>
                <w:sz w:val="18"/>
                <w:szCs w:val="18"/>
              </w:rPr>
            </w:pPr>
            <w:r w:rsidRPr="0058212D">
              <w:rPr>
                <w:rFonts w:ascii="方正仿宋简体" w:eastAsia="方正仿宋简体" w:hAnsi="宋体" w:cs="宋体" w:hint="eastAsia"/>
                <w:color w:val="000000"/>
                <w:sz w:val="32"/>
                <w:szCs w:val="32"/>
              </w:rPr>
              <w:t>根据《特种设备安全监察条例》的规定，现将2009年全国特种设备安全状况公布如下。</w:t>
            </w:r>
          </w:p>
          <w:p w:rsidR="0058212D" w:rsidRPr="0058212D" w:rsidRDefault="0058212D" w:rsidP="0058212D">
            <w:pPr>
              <w:wordWrap w:val="0"/>
              <w:adjustRightInd/>
              <w:snapToGrid/>
              <w:spacing w:after="0" w:line="600" w:lineRule="atLeast"/>
              <w:ind w:firstLine="640"/>
              <w:rPr>
                <w:rFonts w:ascii="宋体" w:eastAsia="宋体" w:hAnsi="宋体" w:cs="宋体"/>
                <w:color w:val="000000"/>
                <w:sz w:val="18"/>
                <w:szCs w:val="18"/>
              </w:rPr>
            </w:pPr>
            <w:r w:rsidRPr="0058212D">
              <w:rPr>
                <w:rFonts w:ascii="方正黑体简体" w:eastAsia="方正黑体简体" w:hAnsi="宋体" w:cs="宋体" w:hint="eastAsia"/>
                <w:color w:val="000000"/>
                <w:sz w:val="32"/>
                <w:szCs w:val="32"/>
              </w:rPr>
              <w:t>一、特种设备的基本情况</w:t>
            </w:r>
          </w:p>
          <w:p w:rsidR="0058212D" w:rsidRPr="0058212D" w:rsidRDefault="0058212D" w:rsidP="0058212D">
            <w:pPr>
              <w:wordWrap w:val="0"/>
              <w:adjustRightInd/>
              <w:snapToGrid/>
              <w:spacing w:after="0" w:line="600" w:lineRule="atLeast"/>
              <w:ind w:firstLine="643"/>
              <w:rPr>
                <w:rFonts w:ascii="宋体" w:eastAsia="宋体" w:hAnsi="宋体" w:cs="宋体"/>
                <w:color w:val="000000"/>
                <w:sz w:val="18"/>
                <w:szCs w:val="18"/>
              </w:rPr>
            </w:pPr>
            <w:r w:rsidRPr="0058212D">
              <w:rPr>
                <w:rFonts w:ascii="方正楷体简体" w:eastAsia="方正楷体简体" w:hAnsi="宋体" w:cs="宋体" w:hint="eastAsia"/>
                <w:b/>
                <w:color w:val="000000"/>
                <w:sz w:val="32"/>
                <w:szCs w:val="32"/>
              </w:rPr>
              <w:t>（一）特种设备使用情况。</w:t>
            </w:r>
          </w:p>
          <w:p w:rsidR="0058212D" w:rsidRPr="0058212D" w:rsidRDefault="0058212D" w:rsidP="0058212D">
            <w:pPr>
              <w:wordWrap w:val="0"/>
              <w:adjustRightInd/>
              <w:snapToGrid/>
              <w:spacing w:after="0" w:line="600" w:lineRule="atLeast"/>
              <w:ind w:firstLine="640"/>
              <w:rPr>
                <w:rFonts w:ascii="宋体" w:eastAsia="宋体" w:hAnsi="宋体" w:cs="宋体"/>
                <w:color w:val="000000"/>
                <w:sz w:val="18"/>
                <w:szCs w:val="18"/>
              </w:rPr>
            </w:pPr>
            <w:r w:rsidRPr="0058212D">
              <w:rPr>
                <w:rFonts w:ascii="方正仿宋简体" w:eastAsia="方正仿宋简体" w:hAnsi="宋体" w:cs="宋体" w:hint="eastAsia"/>
                <w:color w:val="000000"/>
                <w:sz w:val="32"/>
                <w:szCs w:val="32"/>
              </w:rPr>
              <w:t>2009年全国已办理使用登记的固定式特种设备数量为582.56万台，气瓶1.32亿只，压力管道66.02万公里，比2008年增加11.8%。全国现有持证的特种设备作业人员520.02万人，其中2009年考核发证139.1万人，比2008年增加10 %。</w:t>
            </w:r>
          </w:p>
          <w:p w:rsidR="0058212D" w:rsidRPr="0058212D" w:rsidRDefault="0058212D" w:rsidP="0058212D">
            <w:pPr>
              <w:wordWrap w:val="0"/>
              <w:adjustRightInd/>
              <w:snapToGrid/>
              <w:spacing w:after="0" w:line="600" w:lineRule="atLeast"/>
              <w:ind w:firstLine="640"/>
              <w:rPr>
                <w:rFonts w:ascii="宋体" w:eastAsia="宋体" w:hAnsi="宋体" w:cs="宋体"/>
                <w:color w:val="000000"/>
                <w:sz w:val="18"/>
                <w:szCs w:val="18"/>
              </w:rPr>
            </w:pPr>
            <w:r w:rsidRPr="0058212D">
              <w:rPr>
                <w:rFonts w:ascii="方正仿宋简体" w:eastAsia="方正仿宋简体" w:hAnsi="宋体" w:cs="宋体" w:hint="eastAsia"/>
                <w:color w:val="000000"/>
                <w:sz w:val="32"/>
                <w:szCs w:val="32"/>
              </w:rPr>
              <w:t>各类特种设备数量分布如下图所示。</w:t>
            </w:r>
          </w:p>
          <w:p w:rsidR="0058212D" w:rsidRPr="0058212D" w:rsidRDefault="0058212D" w:rsidP="0058212D">
            <w:pPr>
              <w:wordWrap w:val="0"/>
              <w:adjustRightInd/>
              <w:snapToGrid/>
              <w:spacing w:after="0" w:line="600" w:lineRule="atLeast"/>
              <w:jc w:val="center"/>
              <w:rPr>
                <w:rFonts w:ascii="宋体" w:eastAsia="宋体" w:hAnsi="宋体" w:cs="宋体"/>
                <w:color w:val="000000"/>
                <w:sz w:val="18"/>
                <w:szCs w:val="18"/>
              </w:rPr>
            </w:pPr>
            <w:r w:rsidRPr="0058212D">
              <w:rPr>
                <w:rFonts w:ascii="方正仿宋简体" w:eastAsia="方正仿宋简体" w:hAnsi="宋体" w:cs="宋体" w:hint="eastAsia"/>
                <w:b/>
                <w:color w:val="000000"/>
                <w:sz w:val="32"/>
                <w:szCs w:val="32"/>
              </w:rPr>
              <w:t>2009年各类特种设备数量分布图</w:t>
            </w:r>
          </w:p>
          <w:p w:rsidR="0058212D" w:rsidRPr="0058212D" w:rsidRDefault="0058212D" w:rsidP="0058212D">
            <w:pPr>
              <w:wordWrap w:val="0"/>
              <w:adjustRightInd/>
              <w:snapToGrid/>
              <w:spacing w:after="0"/>
              <w:ind w:left="630" w:hanging="630"/>
              <w:rPr>
                <w:rFonts w:ascii="宋体" w:eastAsia="宋体" w:hAnsi="宋体" w:cs="宋体"/>
                <w:color w:val="000000"/>
                <w:sz w:val="18"/>
                <w:szCs w:val="18"/>
              </w:rPr>
            </w:pPr>
            <w:r>
              <w:rPr>
                <w:rFonts w:ascii="宋体" w:eastAsia="宋体" w:hAnsi="宋体" w:cs="宋体"/>
                <w:noProof/>
                <w:color w:val="000000"/>
                <w:sz w:val="18"/>
                <w:szCs w:val="18"/>
              </w:rPr>
              <w:drawing>
                <wp:inline distT="0" distB="0" distL="0" distR="0">
                  <wp:extent cx="5334000" cy="2190750"/>
                  <wp:effectExtent l="0" t="0" r="0" b="0"/>
                  <wp:docPr id="1" name="图片 1" descr="http://tzsbaqjcj.aqsiq.gov.cn/gzdt/zxzx/201008/W020100804593685883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zsbaqjcj.aqsiq.gov.cn/gzdt/zxzx/201008/W020100804593685883007.gif"/>
                          <pic:cNvPicPr>
                            <a:picLocks noChangeAspect="1" noChangeArrowheads="1"/>
                          </pic:cNvPicPr>
                        </pic:nvPicPr>
                        <pic:blipFill>
                          <a:blip r:embed="rId4" cstate="print"/>
                          <a:srcRect/>
                          <a:stretch>
                            <a:fillRect/>
                          </a:stretch>
                        </pic:blipFill>
                        <pic:spPr bwMode="auto">
                          <a:xfrm>
                            <a:off x="0" y="0"/>
                            <a:ext cx="5334000" cy="2190750"/>
                          </a:xfrm>
                          <a:prstGeom prst="rect">
                            <a:avLst/>
                          </a:prstGeom>
                          <a:noFill/>
                          <a:ln w="9525">
                            <a:noFill/>
                            <a:miter lim="800000"/>
                            <a:headEnd/>
                            <a:tailEnd/>
                          </a:ln>
                        </pic:spPr>
                      </pic:pic>
                    </a:graphicData>
                  </a:graphic>
                </wp:inline>
              </w:drawing>
            </w:r>
            <w:r w:rsidRPr="0058212D">
              <w:rPr>
                <w:rFonts w:ascii="宋体" w:eastAsia="宋体" w:hAnsi="宋体" w:cs="宋体"/>
                <w:color w:val="000000"/>
                <w:sz w:val="18"/>
                <w:szCs w:val="18"/>
              </w:rPr>
              <w:t xml:space="preserve">      </w:t>
            </w:r>
          </w:p>
          <w:p w:rsidR="0058212D" w:rsidRPr="0058212D" w:rsidRDefault="0058212D" w:rsidP="0058212D">
            <w:pPr>
              <w:wordWrap w:val="0"/>
              <w:adjustRightInd/>
              <w:snapToGrid/>
              <w:spacing w:after="0"/>
              <w:ind w:left="630" w:hanging="630"/>
              <w:rPr>
                <w:rFonts w:ascii="宋体" w:eastAsia="宋体" w:hAnsi="宋体" w:cs="宋体"/>
                <w:color w:val="000000"/>
                <w:sz w:val="18"/>
                <w:szCs w:val="18"/>
              </w:rPr>
            </w:pPr>
            <w:r w:rsidRPr="0058212D">
              <w:rPr>
                <w:rFonts w:ascii="宋体" w:eastAsia="宋体" w:hAnsi="宋体" w:cs="宋体"/>
                <w:color w:val="000000"/>
                <w:sz w:val="18"/>
                <w:szCs w:val="18"/>
              </w:rPr>
              <w:t xml:space="preserve">         </w:t>
            </w:r>
            <w:r w:rsidRPr="0058212D">
              <w:rPr>
                <w:rFonts w:ascii="方正楷体简体" w:eastAsia="方正楷体简体" w:hAnsi="宋体" w:cs="宋体" w:hint="eastAsia"/>
                <w:b/>
                <w:color w:val="000000"/>
                <w:sz w:val="32"/>
                <w:szCs w:val="32"/>
              </w:rPr>
              <w:t>（二）特种设备生产情况。</w:t>
            </w:r>
          </w:p>
          <w:p w:rsidR="0058212D" w:rsidRPr="0058212D" w:rsidRDefault="0058212D" w:rsidP="0058212D">
            <w:pPr>
              <w:wordWrap w:val="0"/>
              <w:adjustRightInd/>
              <w:snapToGrid/>
              <w:spacing w:after="0" w:line="600" w:lineRule="atLeast"/>
              <w:ind w:firstLine="640"/>
              <w:rPr>
                <w:rFonts w:ascii="宋体" w:eastAsia="宋体" w:hAnsi="宋体" w:cs="宋体"/>
                <w:color w:val="000000"/>
                <w:sz w:val="18"/>
                <w:szCs w:val="18"/>
              </w:rPr>
            </w:pPr>
            <w:r w:rsidRPr="0058212D">
              <w:rPr>
                <w:rFonts w:ascii="方正仿宋简体" w:eastAsia="方正仿宋简体" w:hAnsi="宋体" w:cs="宋体" w:hint="eastAsia"/>
                <w:color w:val="000000"/>
                <w:sz w:val="32"/>
                <w:szCs w:val="32"/>
              </w:rPr>
              <w:t>我国现有特种设备生产（含设计、制造、安装、改</w:t>
            </w:r>
            <w:r w:rsidRPr="0058212D">
              <w:rPr>
                <w:rFonts w:ascii="方正仿宋简体" w:eastAsia="方正仿宋简体" w:hAnsi="宋体" w:cs="宋体" w:hint="eastAsia"/>
                <w:color w:val="000000"/>
                <w:sz w:val="32"/>
                <w:szCs w:val="32"/>
              </w:rPr>
              <w:lastRenderedPageBreak/>
              <w:t>造、维修、气瓶充装）单位47565家，持有特种设备许可证48508张，单位数比2008年增加 12%。</w:t>
            </w:r>
          </w:p>
          <w:p w:rsidR="0058212D" w:rsidRPr="0058212D" w:rsidRDefault="0058212D" w:rsidP="0058212D">
            <w:pPr>
              <w:wordWrap w:val="0"/>
              <w:adjustRightInd/>
              <w:snapToGrid/>
              <w:spacing w:after="0" w:line="600" w:lineRule="atLeast"/>
              <w:jc w:val="center"/>
              <w:rPr>
                <w:rFonts w:ascii="宋体" w:eastAsia="宋体" w:hAnsi="宋体" w:cs="宋体"/>
                <w:color w:val="000000"/>
                <w:sz w:val="18"/>
                <w:szCs w:val="18"/>
              </w:rPr>
            </w:pPr>
            <w:r w:rsidRPr="0058212D">
              <w:rPr>
                <w:rFonts w:ascii="方正仿宋简体" w:eastAsia="方正仿宋简体" w:hAnsi="宋体" w:cs="宋体" w:hint="eastAsia"/>
                <w:b/>
                <w:color w:val="000000"/>
                <w:sz w:val="32"/>
                <w:szCs w:val="32"/>
              </w:rPr>
              <w:t>2009年特种设备生产单位数量分布图</w:t>
            </w:r>
          </w:p>
          <w:p w:rsidR="0058212D" w:rsidRPr="0058212D" w:rsidRDefault="0058212D" w:rsidP="0058212D">
            <w:pPr>
              <w:wordWrap w:val="0"/>
              <w:adjustRightInd/>
              <w:snapToGrid/>
              <w:spacing w:after="0"/>
              <w:ind w:firstLine="630"/>
              <w:rPr>
                <w:rFonts w:ascii="宋体" w:eastAsia="宋体" w:hAnsi="宋体" w:cs="宋体"/>
                <w:color w:val="000000"/>
                <w:sz w:val="18"/>
                <w:szCs w:val="18"/>
              </w:rPr>
            </w:pPr>
            <w:r>
              <w:rPr>
                <w:rFonts w:ascii="宋体" w:eastAsia="宋体" w:hAnsi="宋体" w:cs="宋体"/>
                <w:noProof/>
                <w:color w:val="000000"/>
                <w:sz w:val="18"/>
                <w:szCs w:val="18"/>
              </w:rPr>
              <w:drawing>
                <wp:inline distT="0" distB="0" distL="0" distR="0">
                  <wp:extent cx="5000625" cy="2486025"/>
                  <wp:effectExtent l="0" t="0" r="0" b="0"/>
                  <wp:docPr id="2" name="图片 2" descr="http://tzsbaqjcj.aqsiq.gov.cn/gzdt/zxzx/201008/W0201008045936865795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zsbaqjcj.aqsiq.gov.cn/gzdt/zxzx/201008/W020100804593686579548.gif"/>
                          <pic:cNvPicPr>
                            <a:picLocks noChangeAspect="1" noChangeArrowheads="1"/>
                          </pic:cNvPicPr>
                        </pic:nvPicPr>
                        <pic:blipFill>
                          <a:blip r:embed="rId5" cstate="print"/>
                          <a:srcRect/>
                          <a:stretch>
                            <a:fillRect/>
                          </a:stretch>
                        </pic:blipFill>
                        <pic:spPr bwMode="auto">
                          <a:xfrm>
                            <a:off x="0" y="0"/>
                            <a:ext cx="5000625" cy="2486025"/>
                          </a:xfrm>
                          <a:prstGeom prst="rect">
                            <a:avLst/>
                          </a:prstGeom>
                          <a:noFill/>
                          <a:ln w="9525">
                            <a:noFill/>
                            <a:miter lim="800000"/>
                            <a:headEnd/>
                            <a:tailEnd/>
                          </a:ln>
                        </pic:spPr>
                      </pic:pic>
                    </a:graphicData>
                  </a:graphic>
                </wp:inline>
              </w:drawing>
            </w:r>
            <w:r w:rsidRPr="0058212D">
              <w:rPr>
                <w:rFonts w:ascii="宋体" w:eastAsia="宋体" w:hAnsi="宋体" w:cs="宋体"/>
                <w:color w:val="000000"/>
                <w:sz w:val="18"/>
                <w:szCs w:val="18"/>
              </w:rPr>
              <w:t xml:space="preserve">  </w:t>
            </w:r>
            <w:r w:rsidRPr="0058212D">
              <w:rPr>
                <w:rFonts w:ascii="方正楷体简体" w:eastAsia="方正楷体简体" w:hAnsi="宋体" w:cs="宋体" w:hint="eastAsia"/>
                <w:color w:val="000000"/>
                <w:sz w:val="32"/>
                <w:szCs w:val="32"/>
              </w:rPr>
              <w:t>  </w:t>
            </w:r>
          </w:p>
          <w:p w:rsidR="0058212D" w:rsidRPr="0058212D" w:rsidRDefault="0058212D" w:rsidP="0058212D">
            <w:pPr>
              <w:wordWrap w:val="0"/>
              <w:adjustRightInd/>
              <w:snapToGrid/>
              <w:spacing w:after="0" w:line="600" w:lineRule="atLeast"/>
              <w:ind w:firstLine="630"/>
              <w:rPr>
                <w:rFonts w:ascii="宋体" w:eastAsia="宋体" w:hAnsi="宋体" w:cs="宋体"/>
                <w:color w:val="000000"/>
                <w:sz w:val="18"/>
                <w:szCs w:val="18"/>
              </w:rPr>
            </w:pPr>
            <w:r w:rsidRPr="0058212D">
              <w:rPr>
                <w:rFonts w:ascii="方正楷体简体" w:eastAsia="方正楷体简体" w:hAnsi="宋体" w:cs="宋体" w:hint="eastAsia"/>
                <w:b/>
                <w:color w:val="000000"/>
                <w:sz w:val="32"/>
                <w:szCs w:val="32"/>
              </w:rPr>
              <w:t>（三）特种设备安全监察和检验检测情况。</w:t>
            </w:r>
          </w:p>
          <w:p w:rsidR="0058212D" w:rsidRPr="0058212D" w:rsidRDefault="0058212D" w:rsidP="0058212D">
            <w:pPr>
              <w:wordWrap w:val="0"/>
              <w:adjustRightInd/>
              <w:snapToGrid/>
              <w:spacing w:after="0" w:line="600" w:lineRule="atLeast"/>
              <w:ind w:firstLine="640"/>
              <w:rPr>
                <w:rFonts w:ascii="宋体" w:eastAsia="宋体" w:hAnsi="宋体" w:cs="宋体"/>
                <w:color w:val="000000"/>
                <w:sz w:val="18"/>
                <w:szCs w:val="18"/>
              </w:rPr>
            </w:pPr>
            <w:r w:rsidRPr="0058212D">
              <w:rPr>
                <w:rFonts w:ascii="方正仿宋简体" w:eastAsia="方正仿宋简体" w:hAnsi="宋体" w:cs="宋体" w:hint="eastAsia"/>
                <w:color w:val="000000"/>
                <w:sz w:val="32"/>
                <w:szCs w:val="32"/>
              </w:rPr>
              <w:t>截至2009年底，全国质检系统共设置特种设备安全监察机构3049个，其中国家级1个、省级32个、市级460个、县级2556个。全国特种设备安全监察人员共9624人。</w:t>
            </w:r>
          </w:p>
          <w:p w:rsidR="0058212D" w:rsidRPr="0058212D" w:rsidRDefault="0058212D" w:rsidP="0058212D">
            <w:pPr>
              <w:wordWrap w:val="0"/>
              <w:adjustRightInd/>
              <w:snapToGrid/>
              <w:spacing w:after="0" w:line="600" w:lineRule="atLeast"/>
              <w:ind w:firstLine="630"/>
              <w:rPr>
                <w:rFonts w:ascii="宋体" w:eastAsia="宋体" w:hAnsi="宋体" w:cs="宋体"/>
                <w:color w:val="000000"/>
                <w:sz w:val="18"/>
                <w:szCs w:val="18"/>
              </w:rPr>
            </w:pPr>
            <w:r w:rsidRPr="0058212D">
              <w:rPr>
                <w:rFonts w:ascii="方正仿宋简体" w:eastAsia="方正仿宋简体" w:hAnsi="宋体" w:cs="宋体" w:hint="eastAsia"/>
                <w:color w:val="000000"/>
                <w:sz w:val="32"/>
                <w:szCs w:val="32"/>
              </w:rPr>
              <w:t>全国现有特种设备综合性检验机构518个，其中质检部门所属检验机构329个，行业检验机构及企业自检机构189个。另外还有型式试验机构18个，无损检测机构221个，气瓶检验机构1728个。检验机构人员共56372人，其中质检部门所属检验机构23478人。</w:t>
            </w:r>
          </w:p>
          <w:p w:rsidR="0058212D" w:rsidRPr="0058212D" w:rsidRDefault="0058212D" w:rsidP="0058212D">
            <w:pPr>
              <w:wordWrap w:val="0"/>
              <w:adjustRightInd/>
              <w:snapToGrid/>
              <w:spacing w:after="0" w:line="600" w:lineRule="atLeast"/>
              <w:ind w:firstLine="629"/>
              <w:rPr>
                <w:rFonts w:ascii="宋体" w:eastAsia="宋体" w:hAnsi="宋体" w:cs="宋体"/>
                <w:color w:val="000000"/>
                <w:sz w:val="18"/>
                <w:szCs w:val="18"/>
              </w:rPr>
            </w:pPr>
            <w:r w:rsidRPr="0058212D">
              <w:rPr>
                <w:rFonts w:ascii="方正仿宋简体" w:eastAsia="方正仿宋简体" w:hAnsi="宋体" w:cs="宋体" w:hint="eastAsia"/>
                <w:color w:val="000000"/>
                <w:sz w:val="32"/>
                <w:szCs w:val="32"/>
              </w:rPr>
              <w:t>2009年全国各级质检部门开展特种设备执法监督检查77.6万次，责令整改各类问题23.7万个。特种设备检验机构对445.46万台特种设备及元部件的制造过程进行了监督</w:t>
            </w:r>
            <w:r w:rsidRPr="0058212D">
              <w:rPr>
                <w:rFonts w:ascii="方正仿宋简体" w:eastAsia="方正仿宋简体" w:hAnsi="宋体" w:cs="宋体" w:hint="eastAsia"/>
                <w:color w:val="000000"/>
                <w:sz w:val="32"/>
                <w:szCs w:val="32"/>
              </w:rPr>
              <w:lastRenderedPageBreak/>
              <w:t>检验，发现并督促企业处理质量安全问题3.74万个；对56.96万台特种设备安装、改造、维修过程进行了监督检验，发现并督促企业处理质量安全问题18.44万个；对269.64万台在用特种设备进行了定期检验，发现并督促企业处理质量安全问题116.76万个。</w:t>
            </w:r>
          </w:p>
          <w:p w:rsidR="0058212D" w:rsidRPr="0058212D" w:rsidRDefault="0058212D" w:rsidP="0058212D">
            <w:pPr>
              <w:wordWrap w:val="0"/>
              <w:adjustRightInd/>
              <w:snapToGrid/>
              <w:spacing w:after="0" w:line="600" w:lineRule="atLeast"/>
              <w:ind w:firstLine="640"/>
              <w:rPr>
                <w:rFonts w:ascii="宋体" w:eastAsia="宋体" w:hAnsi="宋体" w:cs="宋体"/>
                <w:color w:val="000000"/>
                <w:sz w:val="18"/>
                <w:szCs w:val="18"/>
              </w:rPr>
            </w:pPr>
            <w:r w:rsidRPr="0058212D">
              <w:rPr>
                <w:rFonts w:ascii="方正黑体简体" w:eastAsia="方正黑体简体" w:hAnsi="宋体" w:cs="宋体" w:hint="eastAsia"/>
                <w:color w:val="000000"/>
                <w:sz w:val="32"/>
                <w:szCs w:val="32"/>
              </w:rPr>
              <w:t>二、特种设备安全状况</w:t>
            </w:r>
          </w:p>
          <w:p w:rsidR="0058212D" w:rsidRPr="0058212D" w:rsidRDefault="0058212D" w:rsidP="0058212D">
            <w:pPr>
              <w:wordWrap w:val="0"/>
              <w:adjustRightInd/>
              <w:snapToGrid/>
              <w:spacing w:after="0" w:line="600" w:lineRule="atLeast"/>
              <w:ind w:firstLine="630"/>
              <w:rPr>
                <w:rFonts w:ascii="宋体" w:eastAsia="宋体" w:hAnsi="宋体" w:cs="宋体"/>
                <w:color w:val="000000"/>
                <w:sz w:val="18"/>
                <w:szCs w:val="18"/>
              </w:rPr>
            </w:pPr>
            <w:r w:rsidRPr="0058212D">
              <w:rPr>
                <w:rFonts w:ascii="方正楷体简体" w:eastAsia="方正楷体简体" w:hAnsi="宋体" w:cs="宋体" w:hint="eastAsia"/>
                <w:b/>
                <w:color w:val="000000"/>
                <w:sz w:val="32"/>
                <w:szCs w:val="32"/>
              </w:rPr>
              <w:t>（一）事故总体情况。</w:t>
            </w:r>
          </w:p>
          <w:p w:rsidR="0058212D" w:rsidRPr="0058212D" w:rsidRDefault="0058212D" w:rsidP="0058212D">
            <w:pPr>
              <w:wordWrap w:val="0"/>
              <w:adjustRightInd/>
              <w:snapToGrid/>
              <w:spacing w:after="0" w:line="600" w:lineRule="atLeast"/>
              <w:ind w:firstLine="656"/>
              <w:rPr>
                <w:rFonts w:ascii="宋体" w:eastAsia="宋体" w:hAnsi="宋体" w:cs="宋体"/>
                <w:color w:val="000000"/>
                <w:sz w:val="18"/>
                <w:szCs w:val="18"/>
              </w:rPr>
            </w:pPr>
            <w:r w:rsidRPr="0058212D">
              <w:rPr>
                <w:rFonts w:ascii="方正仿宋简体" w:eastAsia="方正仿宋简体" w:hAnsi="宋体" w:cs="宋体" w:hint="eastAsia"/>
                <w:color w:val="000000"/>
                <w:spacing w:val="4"/>
                <w:sz w:val="32"/>
                <w:szCs w:val="32"/>
              </w:rPr>
              <w:t>2009年共发生特种设备事故380起，死亡315人，受伤402人，直接经济损失6181万元；其中，较大事故101起，未发生重大事故和特别重大事故。与2008年同期相比，事故总起数增加24%，死亡人数减少1%，受伤人数减少13%，直接经济损失减少37%。</w:t>
            </w:r>
          </w:p>
          <w:p w:rsidR="0058212D" w:rsidRPr="0058212D" w:rsidRDefault="0058212D" w:rsidP="0058212D">
            <w:pPr>
              <w:wordWrap w:val="0"/>
              <w:adjustRightInd/>
              <w:snapToGrid/>
              <w:spacing w:after="0" w:line="600" w:lineRule="atLeast"/>
              <w:ind w:firstLine="640"/>
              <w:rPr>
                <w:rFonts w:ascii="宋体" w:eastAsia="宋体" w:hAnsi="宋体" w:cs="宋体"/>
                <w:color w:val="000000"/>
                <w:sz w:val="18"/>
                <w:szCs w:val="18"/>
              </w:rPr>
            </w:pPr>
            <w:r w:rsidRPr="0058212D">
              <w:rPr>
                <w:rFonts w:ascii="方正仿宋简体" w:eastAsia="方正仿宋简体" w:hAnsi="宋体" w:cs="宋体" w:hint="eastAsia"/>
                <w:color w:val="000000"/>
                <w:sz w:val="32"/>
                <w:szCs w:val="32"/>
              </w:rPr>
              <w:t>以实际在用特种设备数量计，2009年万台设备事故起数为0.92起，万台设备死亡人数为0.76人，与2008年同期相比，万台设备事故起数增加24.3%、万台设备死亡人数下降7.3%，死亡人数控制在国务院安委会下达的特种设备安全生产控制指标之内。</w:t>
            </w:r>
          </w:p>
          <w:p w:rsidR="0058212D" w:rsidRPr="0058212D" w:rsidRDefault="0058212D" w:rsidP="0058212D">
            <w:pPr>
              <w:wordWrap w:val="0"/>
              <w:adjustRightInd/>
              <w:snapToGrid/>
              <w:spacing w:after="0" w:line="600" w:lineRule="atLeast"/>
              <w:ind w:firstLine="640"/>
              <w:rPr>
                <w:rFonts w:ascii="宋体" w:eastAsia="宋体" w:hAnsi="宋体" w:cs="宋体"/>
                <w:color w:val="000000"/>
                <w:sz w:val="18"/>
                <w:szCs w:val="18"/>
              </w:rPr>
            </w:pPr>
            <w:r w:rsidRPr="0058212D">
              <w:rPr>
                <w:rFonts w:ascii="方正仿宋简体" w:eastAsia="方正仿宋简体" w:hAnsi="宋体" w:cs="宋体" w:hint="eastAsia"/>
                <w:color w:val="000000"/>
                <w:sz w:val="32"/>
                <w:szCs w:val="32"/>
              </w:rPr>
              <w:t>事故起数增加主要原因是新修改的《特种设备安全监察条例》将没有人员伤亡的锅炉、压力容器、压力管道爆炸、有毒介质泄露导致人员转移、客运索道、大型游乐设施高空滞留人员、电梯轿厢滞留人员、起重机械整体倾覆等情况定义为事故，另外将场（厂）内专用机动车辆纳入条例调整范围，扩大了事故范围和统计口径，导致事故起</w:t>
            </w:r>
            <w:r w:rsidRPr="0058212D">
              <w:rPr>
                <w:rFonts w:ascii="方正仿宋简体" w:eastAsia="方正仿宋简体" w:hAnsi="宋体" w:cs="宋体" w:hint="eastAsia"/>
                <w:color w:val="000000"/>
                <w:sz w:val="32"/>
                <w:szCs w:val="32"/>
              </w:rPr>
              <w:lastRenderedPageBreak/>
              <w:t>数较大幅度上升。若以事故死亡人数这一相同口径比较，事故状况仍继续保持平稳态势。</w:t>
            </w:r>
          </w:p>
          <w:p w:rsidR="0058212D" w:rsidRPr="0058212D" w:rsidRDefault="0058212D" w:rsidP="0058212D">
            <w:pPr>
              <w:wordWrap w:val="0"/>
              <w:adjustRightInd/>
              <w:snapToGrid/>
              <w:spacing w:after="0"/>
              <w:jc w:val="center"/>
              <w:rPr>
                <w:rFonts w:ascii="宋体" w:eastAsia="宋体" w:hAnsi="宋体" w:cs="宋体"/>
                <w:color w:val="000000"/>
                <w:sz w:val="18"/>
                <w:szCs w:val="18"/>
              </w:rPr>
            </w:pPr>
            <w:r w:rsidRPr="0058212D">
              <w:rPr>
                <w:rFonts w:ascii="方正仿宋简体" w:eastAsia="方正仿宋简体" w:hAnsi="宋体" w:cs="宋体" w:hint="eastAsia"/>
                <w:b/>
                <w:color w:val="000000"/>
                <w:sz w:val="32"/>
                <w:szCs w:val="32"/>
              </w:rPr>
              <w:t>2001年至2009年万台设备事故起数趋势图</w:t>
            </w:r>
            <w:r>
              <w:rPr>
                <w:rFonts w:ascii="宋体" w:eastAsia="宋体" w:hAnsi="宋体" w:cs="宋体"/>
                <w:noProof/>
                <w:color w:val="000000"/>
                <w:sz w:val="18"/>
                <w:szCs w:val="18"/>
              </w:rPr>
              <w:drawing>
                <wp:inline distT="0" distB="0" distL="0" distR="0">
                  <wp:extent cx="400050" cy="1828800"/>
                  <wp:effectExtent l="0" t="0" r="0" b="0"/>
                  <wp:docPr id="3" name="图片 3" descr="http://tzsbaqjcj.aqsiq.gov.cn/gzdt/zxzx/201008/W0201008045936865760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zsbaqjcj.aqsiq.gov.cn/gzdt/zxzx/201008/W020100804593686576085.gif"/>
                          <pic:cNvPicPr>
                            <a:picLocks noChangeAspect="1" noChangeArrowheads="1"/>
                          </pic:cNvPicPr>
                        </pic:nvPicPr>
                        <pic:blipFill>
                          <a:blip r:embed="rId6" cstate="print"/>
                          <a:srcRect/>
                          <a:stretch>
                            <a:fillRect/>
                          </a:stretch>
                        </pic:blipFill>
                        <pic:spPr bwMode="auto">
                          <a:xfrm>
                            <a:off x="0" y="0"/>
                            <a:ext cx="400050" cy="1828800"/>
                          </a:xfrm>
                          <a:prstGeom prst="rect">
                            <a:avLst/>
                          </a:prstGeom>
                          <a:noFill/>
                          <a:ln w="9525">
                            <a:noFill/>
                            <a:miter lim="800000"/>
                            <a:headEnd/>
                            <a:tailEnd/>
                          </a:ln>
                        </pic:spPr>
                      </pic:pic>
                    </a:graphicData>
                  </a:graphic>
                </wp:inline>
              </w:drawing>
            </w:r>
            <w:r>
              <w:rPr>
                <w:rFonts w:ascii="宋体" w:eastAsia="宋体" w:hAnsi="宋体" w:cs="宋体"/>
                <w:noProof/>
                <w:color w:val="000000"/>
                <w:sz w:val="18"/>
                <w:szCs w:val="18"/>
              </w:rPr>
              <w:drawing>
                <wp:inline distT="0" distB="0" distL="0" distR="0">
                  <wp:extent cx="4953000" cy="1809750"/>
                  <wp:effectExtent l="0" t="0" r="0" b="0"/>
                  <wp:docPr id="4" name="图片 4" descr="http://tzsbaqjcj.aqsiq.gov.cn/gzdt/zxzx/201008/W020100804593686570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zsbaqjcj.aqsiq.gov.cn/gzdt/zxzx/201008/W020100804593686570042.gif"/>
                          <pic:cNvPicPr>
                            <a:picLocks noChangeAspect="1" noChangeArrowheads="1"/>
                          </pic:cNvPicPr>
                        </pic:nvPicPr>
                        <pic:blipFill>
                          <a:blip r:embed="rId7" cstate="print"/>
                          <a:srcRect/>
                          <a:stretch>
                            <a:fillRect/>
                          </a:stretch>
                        </pic:blipFill>
                        <pic:spPr bwMode="auto">
                          <a:xfrm>
                            <a:off x="0" y="0"/>
                            <a:ext cx="4953000" cy="1809750"/>
                          </a:xfrm>
                          <a:prstGeom prst="rect">
                            <a:avLst/>
                          </a:prstGeom>
                          <a:noFill/>
                          <a:ln w="9525">
                            <a:noFill/>
                            <a:miter lim="800000"/>
                            <a:headEnd/>
                            <a:tailEnd/>
                          </a:ln>
                        </pic:spPr>
                      </pic:pic>
                    </a:graphicData>
                  </a:graphic>
                </wp:inline>
              </w:drawing>
            </w:r>
          </w:p>
          <w:p w:rsidR="0058212D" w:rsidRPr="0058212D" w:rsidRDefault="0058212D" w:rsidP="0058212D">
            <w:pPr>
              <w:wordWrap w:val="0"/>
              <w:adjustRightInd/>
              <w:snapToGrid/>
              <w:spacing w:after="0"/>
              <w:jc w:val="center"/>
              <w:rPr>
                <w:rFonts w:ascii="宋体" w:eastAsia="宋体" w:hAnsi="宋体" w:cs="宋体"/>
                <w:color w:val="000000"/>
                <w:sz w:val="18"/>
                <w:szCs w:val="18"/>
              </w:rPr>
            </w:pPr>
            <w:r w:rsidRPr="0058212D">
              <w:rPr>
                <w:rFonts w:ascii="宋体" w:eastAsia="宋体" w:hAnsi="宋体" w:cs="宋体"/>
                <w:color w:val="000000"/>
                <w:sz w:val="18"/>
                <w:szCs w:val="18"/>
              </w:rPr>
              <w:t> </w:t>
            </w:r>
          </w:p>
          <w:p w:rsidR="0058212D" w:rsidRPr="0058212D" w:rsidRDefault="0058212D" w:rsidP="0058212D">
            <w:pPr>
              <w:wordWrap w:val="0"/>
              <w:adjustRightInd/>
              <w:snapToGrid/>
              <w:spacing w:after="0"/>
              <w:jc w:val="center"/>
              <w:rPr>
                <w:rFonts w:ascii="宋体" w:eastAsia="宋体" w:hAnsi="宋体" w:cs="宋体"/>
                <w:color w:val="000000"/>
                <w:sz w:val="18"/>
                <w:szCs w:val="18"/>
              </w:rPr>
            </w:pPr>
            <w:r w:rsidRPr="0058212D">
              <w:rPr>
                <w:rFonts w:ascii="方正仿宋简体" w:eastAsia="方正仿宋简体" w:hAnsi="宋体" w:cs="宋体" w:hint="eastAsia"/>
                <w:b/>
                <w:color w:val="000000"/>
                <w:sz w:val="32"/>
                <w:szCs w:val="32"/>
              </w:rPr>
              <w:t>2004年至2009年万台设备事故死亡人数趋势图</w:t>
            </w:r>
            <w:r>
              <w:rPr>
                <w:rFonts w:ascii="宋体" w:eastAsia="宋体" w:hAnsi="宋体" w:cs="宋体"/>
                <w:noProof/>
                <w:color w:val="000000"/>
                <w:sz w:val="18"/>
                <w:szCs w:val="18"/>
              </w:rPr>
              <w:drawing>
                <wp:inline distT="0" distB="0" distL="0" distR="0">
                  <wp:extent cx="400050" cy="1828800"/>
                  <wp:effectExtent l="0" t="0" r="0" b="0"/>
                  <wp:docPr id="5" name="图片 5" descr="http://tzsbaqjcj.aqsiq.gov.cn/gzdt/zxzx/201008/W0201008045936865760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zsbaqjcj.aqsiq.gov.cn/gzdt/zxzx/201008/W020100804593686576085.gif"/>
                          <pic:cNvPicPr>
                            <a:picLocks noChangeAspect="1" noChangeArrowheads="1"/>
                          </pic:cNvPicPr>
                        </pic:nvPicPr>
                        <pic:blipFill>
                          <a:blip r:embed="rId6" cstate="print"/>
                          <a:srcRect/>
                          <a:stretch>
                            <a:fillRect/>
                          </a:stretch>
                        </pic:blipFill>
                        <pic:spPr bwMode="auto">
                          <a:xfrm>
                            <a:off x="0" y="0"/>
                            <a:ext cx="400050" cy="1828800"/>
                          </a:xfrm>
                          <a:prstGeom prst="rect">
                            <a:avLst/>
                          </a:prstGeom>
                          <a:noFill/>
                          <a:ln w="9525">
                            <a:noFill/>
                            <a:miter lim="800000"/>
                            <a:headEnd/>
                            <a:tailEnd/>
                          </a:ln>
                        </pic:spPr>
                      </pic:pic>
                    </a:graphicData>
                  </a:graphic>
                </wp:inline>
              </w:drawing>
            </w:r>
            <w:r>
              <w:rPr>
                <w:rFonts w:ascii="宋体" w:eastAsia="宋体" w:hAnsi="宋体" w:cs="宋体"/>
                <w:noProof/>
                <w:color w:val="000000"/>
                <w:sz w:val="18"/>
                <w:szCs w:val="18"/>
              </w:rPr>
              <w:drawing>
                <wp:inline distT="0" distB="0" distL="0" distR="0">
                  <wp:extent cx="4953000" cy="1809750"/>
                  <wp:effectExtent l="0" t="0" r="0" b="0"/>
                  <wp:docPr id="6" name="图片 6" descr="http://tzsbaqjcj.aqsiq.gov.cn/gzdt/zxzx/201008/W0201008045936865858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zsbaqjcj.aqsiq.gov.cn/gzdt/zxzx/201008/W020100804593686585876.gif"/>
                          <pic:cNvPicPr>
                            <a:picLocks noChangeAspect="1" noChangeArrowheads="1"/>
                          </pic:cNvPicPr>
                        </pic:nvPicPr>
                        <pic:blipFill>
                          <a:blip r:embed="rId8" cstate="print"/>
                          <a:srcRect/>
                          <a:stretch>
                            <a:fillRect/>
                          </a:stretch>
                        </pic:blipFill>
                        <pic:spPr bwMode="auto">
                          <a:xfrm>
                            <a:off x="0" y="0"/>
                            <a:ext cx="4953000" cy="1809750"/>
                          </a:xfrm>
                          <a:prstGeom prst="rect">
                            <a:avLst/>
                          </a:prstGeom>
                          <a:noFill/>
                          <a:ln w="9525">
                            <a:noFill/>
                            <a:miter lim="800000"/>
                            <a:headEnd/>
                            <a:tailEnd/>
                          </a:ln>
                        </pic:spPr>
                      </pic:pic>
                    </a:graphicData>
                  </a:graphic>
                </wp:inline>
              </w:drawing>
            </w:r>
          </w:p>
          <w:p w:rsidR="0058212D" w:rsidRPr="0058212D" w:rsidRDefault="0058212D" w:rsidP="0058212D">
            <w:pPr>
              <w:wordWrap w:val="0"/>
              <w:adjustRightInd/>
              <w:snapToGrid/>
              <w:spacing w:after="0"/>
              <w:rPr>
                <w:rFonts w:ascii="宋体" w:eastAsia="宋体" w:hAnsi="宋体" w:cs="宋体"/>
                <w:color w:val="000000"/>
                <w:sz w:val="18"/>
                <w:szCs w:val="18"/>
              </w:rPr>
            </w:pPr>
            <w:r w:rsidRPr="0058212D">
              <w:rPr>
                <w:rFonts w:ascii="方正楷体简体" w:eastAsia="方正楷体简体" w:hAnsi="宋体" w:cs="宋体" w:hint="eastAsia"/>
                <w:color w:val="000000"/>
                <w:sz w:val="30"/>
                <w:szCs w:val="30"/>
                <w:shd w:val="clear" w:color="auto" w:fill="FFFFFF"/>
              </w:rPr>
              <w:t>   </w:t>
            </w:r>
            <w:r w:rsidRPr="0058212D">
              <w:rPr>
                <w:rFonts w:ascii="方正楷体简体" w:eastAsia="方正楷体简体" w:hAnsi="宋体" w:cs="宋体" w:hint="eastAsia"/>
                <w:color w:val="000000"/>
                <w:sz w:val="30"/>
                <w:szCs w:val="30"/>
                <w:shd w:val="clear" w:color="auto" w:fill="FFFFFF"/>
              </w:rPr>
              <w:t xml:space="preserve"> </w:t>
            </w:r>
            <w:r w:rsidRPr="0058212D">
              <w:rPr>
                <w:rFonts w:ascii="方正楷体简体" w:eastAsia="方正楷体简体" w:hAnsi="宋体" w:cs="宋体" w:hint="eastAsia"/>
                <w:color w:val="000000"/>
                <w:sz w:val="30"/>
                <w:szCs w:val="30"/>
                <w:shd w:val="clear" w:color="auto" w:fill="FFFFFF"/>
              </w:rPr>
              <w:t> </w:t>
            </w:r>
            <w:r w:rsidRPr="0058212D">
              <w:rPr>
                <w:rFonts w:ascii="方正楷体简体" w:eastAsia="方正楷体简体" w:hAnsi="宋体" w:cs="宋体" w:hint="eastAsia"/>
                <w:color w:val="000000"/>
                <w:sz w:val="30"/>
                <w:szCs w:val="30"/>
                <w:shd w:val="clear" w:color="auto" w:fill="FFFFFF"/>
              </w:rPr>
              <w:t>注：万台设备事故死亡人数从2004年开始统计。</w:t>
            </w:r>
          </w:p>
          <w:p w:rsidR="0058212D" w:rsidRPr="0058212D" w:rsidRDefault="0058212D" w:rsidP="0058212D">
            <w:pPr>
              <w:wordWrap w:val="0"/>
              <w:adjustRightInd/>
              <w:snapToGrid/>
              <w:spacing w:after="0" w:line="600" w:lineRule="atLeast"/>
              <w:ind w:firstLine="643"/>
              <w:rPr>
                <w:rFonts w:ascii="宋体" w:eastAsia="宋体" w:hAnsi="宋体" w:cs="宋体"/>
                <w:color w:val="000000"/>
                <w:sz w:val="18"/>
                <w:szCs w:val="18"/>
              </w:rPr>
            </w:pPr>
            <w:r w:rsidRPr="0058212D">
              <w:rPr>
                <w:rFonts w:ascii="宋体" w:eastAsia="宋体" w:hAnsi="宋体" w:cs="宋体"/>
                <w:color w:val="000000"/>
                <w:sz w:val="18"/>
                <w:szCs w:val="18"/>
              </w:rPr>
              <w:lastRenderedPageBreak/>
              <w:t> </w:t>
            </w:r>
          </w:p>
          <w:p w:rsidR="0058212D" w:rsidRPr="0058212D" w:rsidRDefault="0058212D" w:rsidP="0058212D">
            <w:pPr>
              <w:wordWrap w:val="0"/>
              <w:adjustRightInd/>
              <w:snapToGrid/>
              <w:spacing w:after="0" w:line="600" w:lineRule="atLeast"/>
              <w:ind w:firstLine="643"/>
              <w:rPr>
                <w:rFonts w:ascii="宋体" w:eastAsia="宋体" w:hAnsi="宋体" w:cs="宋体"/>
                <w:color w:val="000000"/>
                <w:sz w:val="18"/>
                <w:szCs w:val="18"/>
              </w:rPr>
            </w:pPr>
            <w:r w:rsidRPr="0058212D">
              <w:rPr>
                <w:rFonts w:ascii="方正楷体简体" w:eastAsia="方正楷体简体" w:hAnsi="宋体" w:cs="宋体" w:hint="eastAsia"/>
                <w:b/>
                <w:color w:val="000000"/>
                <w:sz w:val="32"/>
                <w:szCs w:val="32"/>
              </w:rPr>
              <w:t>（二）事故特点。</w:t>
            </w:r>
          </w:p>
          <w:p w:rsidR="0058212D" w:rsidRPr="0058212D" w:rsidRDefault="0058212D" w:rsidP="0058212D">
            <w:pPr>
              <w:wordWrap w:val="0"/>
              <w:adjustRightInd/>
              <w:snapToGrid/>
              <w:spacing w:after="0" w:line="600" w:lineRule="atLeast"/>
              <w:ind w:firstLine="643"/>
              <w:rPr>
                <w:rFonts w:ascii="宋体" w:eastAsia="宋体" w:hAnsi="宋体" w:cs="宋体"/>
                <w:color w:val="000000"/>
                <w:sz w:val="18"/>
                <w:szCs w:val="18"/>
              </w:rPr>
            </w:pPr>
            <w:r w:rsidRPr="0058212D">
              <w:rPr>
                <w:rFonts w:ascii="方正仿宋简体" w:eastAsia="方正仿宋简体" w:hAnsi="宋体" w:cs="宋体" w:hint="eastAsia"/>
                <w:b/>
                <w:color w:val="000000"/>
                <w:sz w:val="32"/>
                <w:szCs w:val="32"/>
              </w:rPr>
              <w:t>1. 起重机械、电梯、场（厂）内专用机动车辆事故呈高发态势。</w:t>
            </w:r>
            <w:r w:rsidRPr="0058212D">
              <w:rPr>
                <w:rFonts w:ascii="方正仿宋简体" w:eastAsia="方正仿宋简体" w:hAnsi="宋体" w:cs="宋体" w:hint="eastAsia"/>
                <w:color w:val="000000"/>
                <w:sz w:val="32"/>
                <w:szCs w:val="32"/>
              </w:rPr>
              <w:t>在380起事故中，起重机械事故69起，电梯事故45起，场（厂）内专用机动车辆事故42起，该三类设备事故数量占事故总数的41.1%。</w:t>
            </w:r>
          </w:p>
          <w:p w:rsidR="0058212D" w:rsidRPr="0058212D" w:rsidRDefault="0058212D" w:rsidP="0058212D">
            <w:pPr>
              <w:wordWrap w:val="0"/>
              <w:adjustRightInd/>
              <w:snapToGrid/>
              <w:spacing w:after="0" w:line="540" w:lineRule="atLeast"/>
              <w:jc w:val="center"/>
              <w:rPr>
                <w:rFonts w:ascii="宋体" w:eastAsia="宋体" w:hAnsi="宋体" w:cs="宋体"/>
                <w:color w:val="000000"/>
                <w:sz w:val="18"/>
                <w:szCs w:val="18"/>
              </w:rPr>
            </w:pPr>
            <w:r w:rsidRPr="0058212D">
              <w:rPr>
                <w:rFonts w:ascii="方正仿宋简体" w:eastAsia="方正仿宋简体" w:hAnsi="宋体" w:cs="宋体" w:hint="eastAsia"/>
                <w:b/>
                <w:color w:val="000000"/>
                <w:sz w:val="32"/>
                <w:szCs w:val="32"/>
              </w:rPr>
              <w:t>2009年各类特种设备事故起数和同比情况</w:t>
            </w:r>
          </w:p>
          <w:p w:rsidR="0058212D" w:rsidRPr="0058212D" w:rsidRDefault="0058212D" w:rsidP="0058212D">
            <w:pPr>
              <w:wordWrap w:val="0"/>
              <w:adjustRightInd/>
              <w:snapToGrid/>
              <w:spacing w:after="0"/>
              <w:jc w:val="center"/>
              <w:rPr>
                <w:rFonts w:ascii="宋体" w:eastAsia="宋体" w:hAnsi="宋体" w:cs="宋体"/>
                <w:color w:val="000000"/>
                <w:sz w:val="18"/>
                <w:szCs w:val="18"/>
              </w:rPr>
            </w:pPr>
            <w:r>
              <w:rPr>
                <w:rFonts w:ascii="宋体" w:eastAsia="宋体" w:hAnsi="宋体" w:cs="宋体"/>
                <w:noProof/>
                <w:color w:val="000000"/>
                <w:sz w:val="18"/>
                <w:szCs w:val="18"/>
              </w:rPr>
              <w:drawing>
                <wp:inline distT="0" distB="0" distL="0" distR="0">
                  <wp:extent cx="5076825" cy="2400300"/>
                  <wp:effectExtent l="19050" t="0" r="9525" b="0"/>
                  <wp:docPr id="7" name="图片 7" descr="http://tzsbaqjcj.aqsiq.gov.cn/gzdt/zxzx/201008/W020100804593686580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zsbaqjcj.aqsiq.gov.cn/gzdt/zxzx/201008/W020100804593686580013.gif"/>
                          <pic:cNvPicPr>
                            <a:picLocks noChangeAspect="1" noChangeArrowheads="1"/>
                          </pic:cNvPicPr>
                        </pic:nvPicPr>
                        <pic:blipFill>
                          <a:blip r:embed="rId9" cstate="print"/>
                          <a:srcRect/>
                          <a:stretch>
                            <a:fillRect/>
                          </a:stretch>
                        </pic:blipFill>
                        <pic:spPr bwMode="auto">
                          <a:xfrm>
                            <a:off x="0" y="0"/>
                            <a:ext cx="5076825" cy="2400300"/>
                          </a:xfrm>
                          <a:prstGeom prst="rect">
                            <a:avLst/>
                          </a:prstGeom>
                          <a:noFill/>
                          <a:ln w="9525">
                            <a:noFill/>
                            <a:miter lim="800000"/>
                            <a:headEnd/>
                            <a:tailEnd/>
                          </a:ln>
                        </pic:spPr>
                      </pic:pic>
                    </a:graphicData>
                  </a:graphic>
                </wp:inline>
              </w:drawing>
            </w:r>
          </w:p>
          <w:p w:rsidR="0058212D" w:rsidRPr="0058212D" w:rsidRDefault="0058212D" w:rsidP="0058212D">
            <w:pPr>
              <w:wordWrap w:val="0"/>
              <w:adjustRightInd/>
              <w:snapToGrid/>
              <w:spacing w:after="0" w:line="600" w:lineRule="atLeast"/>
              <w:ind w:firstLine="643"/>
              <w:rPr>
                <w:rFonts w:ascii="宋体" w:eastAsia="宋体" w:hAnsi="宋体" w:cs="宋体"/>
                <w:color w:val="000000"/>
                <w:sz w:val="18"/>
                <w:szCs w:val="18"/>
              </w:rPr>
            </w:pPr>
            <w:r w:rsidRPr="0058212D">
              <w:rPr>
                <w:rFonts w:ascii="方正仿宋简体" w:eastAsia="方正仿宋简体" w:hAnsi="宋体" w:cs="宋体" w:hint="eastAsia"/>
                <w:b/>
                <w:color w:val="000000"/>
                <w:sz w:val="32"/>
                <w:szCs w:val="32"/>
              </w:rPr>
              <w:t>2. 场（厂）内专用机动车辆、大型游乐设施、压力管道、气瓶事故上升幅度较大。</w:t>
            </w:r>
            <w:r w:rsidRPr="0058212D">
              <w:rPr>
                <w:rFonts w:ascii="方正仿宋简体" w:eastAsia="方正仿宋简体" w:hAnsi="宋体" w:cs="宋体" w:hint="eastAsia"/>
                <w:color w:val="000000"/>
                <w:sz w:val="32"/>
                <w:szCs w:val="32"/>
              </w:rPr>
              <w:t>与2008年相比，场（厂）内专用机动车辆、大型游乐设施、压力管道、气瓶事故起数分别上升180%、133%、80%、73%，电梯、起重机械事故增长势头初步遏制，锅炉、压力容器事故保持平稳。</w:t>
            </w:r>
          </w:p>
          <w:p w:rsidR="0058212D" w:rsidRPr="0058212D" w:rsidRDefault="0058212D" w:rsidP="0058212D">
            <w:pPr>
              <w:wordWrap w:val="0"/>
              <w:adjustRightInd/>
              <w:snapToGrid/>
              <w:spacing w:after="0" w:line="600" w:lineRule="atLeast"/>
              <w:ind w:firstLine="643"/>
              <w:rPr>
                <w:rFonts w:ascii="宋体" w:eastAsia="宋体" w:hAnsi="宋体" w:cs="宋体"/>
                <w:color w:val="000000"/>
                <w:sz w:val="18"/>
                <w:szCs w:val="18"/>
              </w:rPr>
            </w:pPr>
            <w:r w:rsidRPr="0058212D">
              <w:rPr>
                <w:rFonts w:ascii="方正仿宋简体" w:eastAsia="方正仿宋简体" w:hAnsi="宋体" w:cs="宋体" w:hint="eastAsia"/>
                <w:b/>
                <w:color w:val="000000"/>
                <w:sz w:val="32"/>
                <w:szCs w:val="32"/>
              </w:rPr>
              <w:t>3. 事故主要发生在使用环节。</w:t>
            </w:r>
            <w:r w:rsidRPr="0058212D">
              <w:rPr>
                <w:rFonts w:ascii="方正仿宋简体" w:eastAsia="方正仿宋简体" w:hAnsi="宋体" w:cs="宋体" w:hint="eastAsia"/>
                <w:color w:val="000000"/>
                <w:sz w:val="32"/>
                <w:szCs w:val="32"/>
              </w:rPr>
              <w:t>发生在使用环节的事故有258起，占事故总起数的67.9%。气瓶事故主要发生在充装运输存储、安装（拆卸）环节和维修改造环节。此外， 特种设备其它相关事故也主要发生在使用环节。</w:t>
            </w:r>
          </w:p>
          <w:p w:rsidR="0058212D" w:rsidRPr="0058212D" w:rsidRDefault="0058212D" w:rsidP="0058212D">
            <w:pPr>
              <w:wordWrap w:val="0"/>
              <w:adjustRightInd/>
              <w:snapToGrid/>
              <w:spacing w:after="0" w:line="600" w:lineRule="atLeast"/>
              <w:ind w:firstLine="658"/>
              <w:rPr>
                <w:rFonts w:ascii="宋体" w:eastAsia="宋体" w:hAnsi="宋体" w:cs="宋体"/>
                <w:color w:val="000000"/>
                <w:sz w:val="18"/>
                <w:szCs w:val="18"/>
              </w:rPr>
            </w:pPr>
            <w:r w:rsidRPr="0058212D">
              <w:rPr>
                <w:rFonts w:ascii="方正仿宋简体" w:eastAsia="方正仿宋简体" w:hAnsi="宋体" w:cs="宋体" w:hint="eastAsia"/>
                <w:b/>
                <w:color w:val="000000"/>
                <w:spacing w:val="4"/>
                <w:sz w:val="32"/>
                <w:szCs w:val="32"/>
              </w:rPr>
              <w:t>4. 事故的行业分布状况。</w:t>
            </w:r>
            <w:r w:rsidRPr="0058212D">
              <w:rPr>
                <w:rFonts w:ascii="方正仿宋简体" w:eastAsia="方正仿宋简体" w:hAnsi="宋体" w:cs="宋体" w:hint="eastAsia"/>
                <w:color w:val="000000"/>
                <w:spacing w:val="4"/>
                <w:sz w:val="32"/>
                <w:szCs w:val="32"/>
              </w:rPr>
              <w:t>按照国家统计局行业分类标</w:t>
            </w:r>
            <w:r w:rsidRPr="0058212D">
              <w:rPr>
                <w:rFonts w:ascii="方正仿宋简体" w:eastAsia="方正仿宋简体" w:hAnsi="宋体" w:cs="宋体" w:hint="eastAsia"/>
                <w:color w:val="000000"/>
                <w:spacing w:val="4"/>
                <w:sz w:val="32"/>
                <w:szCs w:val="32"/>
              </w:rPr>
              <w:lastRenderedPageBreak/>
              <w:t>准，特种设备事故主要发生在制造业、建筑业和交通运输、仓储、邮政业，发生在该三个行业的特种设备事故起数分别占事故总数的39%、18%和10％。从设备分类看，锅炉事故主要发生在食品、饲料、服装、建材加工业以及宾馆、餐饮、洗浴等服务业，压力容器事故主要发生在燃气、化工、轻工业，压力管道事故主要发生在化工和食品加工业，电梯事故主要发生在商场、宾馆、医院、地铁等场所及居民住宅，起重机械事故主要发生在房屋建筑工地和冶金、机械、建材、造船业，场（厂）内专用机动车辆事故主要发生在矿山、建材、物流业，大型游乐设施事故主要发生在公园和景区。</w:t>
            </w:r>
          </w:p>
          <w:p w:rsidR="0058212D" w:rsidRPr="0058212D" w:rsidRDefault="0058212D" w:rsidP="0058212D">
            <w:pPr>
              <w:wordWrap w:val="0"/>
              <w:adjustRightInd/>
              <w:snapToGrid/>
              <w:spacing w:after="0" w:line="600" w:lineRule="atLeast"/>
              <w:ind w:firstLine="643"/>
              <w:rPr>
                <w:rFonts w:ascii="宋体" w:eastAsia="宋体" w:hAnsi="宋体" w:cs="宋体"/>
                <w:color w:val="000000"/>
                <w:sz w:val="18"/>
                <w:szCs w:val="18"/>
              </w:rPr>
            </w:pPr>
            <w:r w:rsidRPr="0058212D">
              <w:rPr>
                <w:rFonts w:ascii="方正仿宋简体" w:eastAsia="方正仿宋简体" w:hAnsi="宋体" w:cs="宋体" w:hint="eastAsia"/>
                <w:b/>
                <w:color w:val="000000"/>
                <w:sz w:val="32"/>
                <w:szCs w:val="32"/>
              </w:rPr>
              <w:t>5. 事故的地区分布状况。</w:t>
            </w:r>
            <w:r w:rsidRPr="0058212D">
              <w:rPr>
                <w:rFonts w:ascii="方正仿宋简体" w:eastAsia="方正仿宋简体" w:hAnsi="宋体" w:cs="宋体" w:hint="eastAsia"/>
                <w:color w:val="000000"/>
                <w:sz w:val="32"/>
                <w:szCs w:val="32"/>
              </w:rPr>
              <w:t>发生在东、中、西部地区的特种设备事故分别占事故总数的53％、30％、17％，与特种设备数量的地区分布状况基本一致。</w:t>
            </w:r>
          </w:p>
          <w:p w:rsidR="0058212D" w:rsidRPr="0058212D" w:rsidRDefault="0058212D" w:rsidP="0058212D">
            <w:pPr>
              <w:wordWrap w:val="0"/>
              <w:adjustRightInd/>
              <w:snapToGrid/>
              <w:spacing w:after="0" w:line="600" w:lineRule="atLeast"/>
              <w:ind w:firstLine="643"/>
              <w:rPr>
                <w:rFonts w:ascii="宋体" w:eastAsia="宋体" w:hAnsi="宋体" w:cs="宋体"/>
                <w:color w:val="000000"/>
                <w:sz w:val="18"/>
                <w:szCs w:val="18"/>
              </w:rPr>
            </w:pPr>
            <w:r w:rsidRPr="0058212D">
              <w:rPr>
                <w:rFonts w:ascii="方正楷体简体" w:eastAsia="方正楷体简体" w:hAnsi="宋体" w:cs="宋体" w:hint="eastAsia"/>
                <w:b/>
                <w:color w:val="000000"/>
                <w:sz w:val="32"/>
                <w:szCs w:val="32"/>
              </w:rPr>
              <w:t>（三）事故原因。</w:t>
            </w:r>
          </w:p>
          <w:p w:rsidR="0058212D" w:rsidRPr="0058212D" w:rsidRDefault="0058212D" w:rsidP="0058212D">
            <w:pPr>
              <w:wordWrap w:val="0"/>
              <w:adjustRightInd/>
              <w:snapToGrid/>
              <w:spacing w:after="0" w:line="600" w:lineRule="atLeast"/>
              <w:ind w:firstLine="640"/>
              <w:rPr>
                <w:rFonts w:ascii="宋体" w:eastAsia="宋体" w:hAnsi="宋体" w:cs="宋体"/>
                <w:color w:val="000000"/>
                <w:sz w:val="18"/>
                <w:szCs w:val="18"/>
              </w:rPr>
            </w:pPr>
            <w:r w:rsidRPr="0058212D">
              <w:rPr>
                <w:rFonts w:ascii="方正仿宋简体" w:eastAsia="方正仿宋简体" w:hAnsi="宋体" w:cs="宋体" w:hint="eastAsia"/>
                <w:color w:val="000000"/>
                <w:sz w:val="32"/>
                <w:szCs w:val="32"/>
              </w:rPr>
              <w:t>从监管环节上看，违规使用特别是违章作业仍是造成事故的主要原因，约占事故总起数的66%。具体表现为作业人员违章操作、操作不当甚至无证作业、维护缺失、管理不善、使用非法设备等。因设备制造、安装以及运行过程中产生的质量安全缺陷导致的事故约占事故总起数的15％。</w:t>
            </w:r>
          </w:p>
          <w:p w:rsidR="0058212D" w:rsidRPr="0058212D" w:rsidRDefault="0058212D" w:rsidP="0058212D">
            <w:pPr>
              <w:wordWrap w:val="0"/>
              <w:adjustRightInd/>
              <w:snapToGrid/>
              <w:spacing w:after="0" w:line="600" w:lineRule="atLeast"/>
              <w:ind w:firstLine="640"/>
              <w:rPr>
                <w:rFonts w:ascii="宋体" w:eastAsia="宋体" w:hAnsi="宋体" w:cs="宋体"/>
                <w:color w:val="000000"/>
                <w:sz w:val="18"/>
                <w:szCs w:val="18"/>
              </w:rPr>
            </w:pPr>
            <w:r w:rsidRPr="0058212D">
              <w:rPr>
                <w:rFonts w:ascii="方正仿宋简体" w:eastAsia="方正仿宋简体" w:hAnsi="宋体" w:cs="宋体" w:hint="eastAsia"/>
                <w:color w:val="000000"/>
                <w:sz w:val="32"/>
                <w:szCs w:val="32"/>
              </w:rPr>
              <w:t>从设备种类上看，场（厂）内专用机动车辆、起重机械、电梯、气瓶等运动、移动设备事故易发多发。</w:t>
            </w:r>
          </w:p>
          <w:p w:rsidR="0058212D" w:rsidRPr="0058212D" w:rsidRDefault="0058212D" w:rsidP="0058212D">
            <w:pPr>
              <w:wordWrap w:val="0"/>
              <w:adjustRightInd/>
              <w:snapToGrid/>
              <w:spacing w:after="0" w:line="600" w:lineRule="atLeast"/>
              <w:ind w:firstLine="640"/>
              <w:rPr>
                <w:rFonts w:ascii="宋体" w:eastAsia="宋体" w:hAnsi="宋体" w:cs="宋体"/>
                <w:color w:val="000000"/>
                <w:sz w:val="18"/>
                <w:szCs w:val="18"/>
              </w:rPr>
            </w:pPr>
            <w:r w:rsidRPr="0058212D">
              <w:rPr>
                <w:rFonts w:ascii="方正仿宋简体" w:eastAsia="方正仿宋简体" w:hAnsi="宋体" w:cs="宋体" w:hint="eastAsia"/>
                <w:color w:val="000000"/>
                <w:sz w:val="32"/>
                <w:szCs w:val="32"/>
              </w:rPr>
              <w:lastRenderedPageBreak/>
              <w:t>从技术层面看，锅炉缺水、压力容器和压力管道中危险化学品介质泄漏、氧气瓶内混有油脂、电梯维保过程中人员安全防护措施不当、起重机械存在机械隐患、场（厂）内专用机动车辆行驶中撞压等是造成事故的重要原因。</w:t>
            </w:r>
          </w:p>
          <w:p w:rsidR="0058212D" w:rsidRPr="0058212D" w:rsidRDefault="0058212D" w:rsidP="0058212D">
            <w:pPr>
              <w:wordWrap w:val="0"/>
              <w:adjustRightInd/>
              <w:snapToGrid/>
              <w:spacing w:after="0" w:line="600" w:lineRule="atLeast"/>
              <w:ind w:firstLine="640"/>
              <w:rPr>
                <w:rFonts w:ascii="宋体" w:eastAsia="宋体" w:hAnsi="宋体" w:cs="宋体"/>
                <w:color w:val="000000"/>
                <w:sz w:val="18"/>
                <w:szCs w:val="18"/>
              </w:rPr>
            </w:pPr>
            <w:r w:rsidRPr="0058212D">
              <w:rPr>
                <w:rFonts w:ascii="方正黑体简体" w:eastAsia="方正黑体简体" w:hAnsi="宋体" w:cs="宋体" w:hint="eastAsia"/>
                <w:color w:val="000000"/>
                <w:sz w:val="32"/>
                <w:szCs w:val="32"/>
              </w:rPr>
              <w:t>三、2009年特种设备安全监察工作实施情况</w:t>
            </w:r>
          </w:p>
          <w:p w:rsidR="0058212D" w:rsidRPr="0058212D" w:rsidRDefault="0058212D" w:rsidP="0058212D">
            <w:pPr>
              <w:wordWrap w:val="0"/>
              <w:adjustRightInd/>
              <w:snapToGrid/>
              <w:spacing w:after="0" w:line="600" w:lineRule="atLeast"/>
              <w:ind w:firstLine="643"/>
              <w:rPr>
                <w:rFonts w:ascii="宋体" w:eastAsia="宋体" w:hAnsi="宋体" w:cs="宋体"/>
                <w:color w:val="000000"/>
                <w:sz w:val="18"/>
                <w:szCs w:val="18"/>
              </w:rPr>
            </w:pPr>
            <w:r w:rsidRPr="0058212D">
              <w:rPr>
                <w:rFonts w:ascii="方正楷体简体" w:eastAsia="方正楷体简体" w:hAnsi="宋体" w:cs="宋体" w:hint="eastAsia"/>
                <w:b/>
                <w:color w:val="000000"/>
                <w:sz w:val="32"/>
                <w:szCs w:val="32"/>
              </w:rPr>
              <w:t>（一）扎实开展特种设备安全“三项行动”。</w:t>
            </w:r>
            <w:r w:rsidRPr="0058212D">
              <w:rPr>
                <w:rFonts w:ascii="方正仿宋简体" w:eastAsia="方正仿宋简体" w:hAnsi="宋体" w:cs="宋体" w:hint="eastAsia"/>
                <w:color w:val="000000"/>
                <w:sz w:val="32"/>
                <w:szCs w:val="32"/>
              </w:rPr>
              <w:t>按照国务院和质检总局关于“质量和安全年”、“安全生产年”的统一部署，开展特种设备安全执法、治理和宣传教育“三项行动”。</w:t>
            </w:r>
          </w:p>
          <w:p w:rsidR="0058212D" w:rsidRPr="0058212D" w:rsidRDefault="0058212D" w:rsidP="0058212D">
            <w:pPr>
              <w:wordWrap w:val="0"/>
              <w:adjustRightInd/>
              <w:snapToGrid/>
              <w:spacing w:after="0" w:line="600" w:lineRule="atLeast"/>
              <w:ind w:firstLine="643"/>
              <w:rPr>
                <w:rFonts w:ascii="宋体" w:eastAsia="宋体" w:hAnsi="宋体" w:cs="宋体"/>
                <w:color w:val="000000"/>
                <w:sz w:val="18"/>
                <w:szCs w:val="18"/>
              </w:rPr>
            </w:pPr>
            <w:r w:rsidRPr="0058212D">
              <w:rPr>
                <w:rFonts w:ascii="方正楷体简体" w:eastAsia="方正楷体简体" w:hAnsi="宋体" w:cs="宋体" w:hint="eastAsia"/>
                <w:b/>
                <w:color w:val="000000"/>
                <w:sz w:val="32"/>
                <w:szCs w:val="32"/>
              </w:rPr>
              <w:t>（二）圆满完成国庆60周年特种设备安保任务。</w:t>
            </w:r>
            <w:r w:rsidRPr="0058212D">
              <w:rPr>
                <w:rFonts w:ascii="方正仿宋简体" w:eastAsia="方正仿宋简体" w:hAnsi="宋体" w:cs="宋体" w:hint="eastAsia"/>
                <w:color w:val="000000"/>
                <w:sz w:val="32"/>
                <w:szCs w:val="32"/>
              </w:rPr>
              <w:t>总局配合相关部门做好国庆彩车安装、焰火燃放等使用的起重机械、国庆游行彩车、“飞猫”摄像系统、北京市国庆游园活动相关的682台套特种设备及氦气钢瓶的安全保障工作。同时组织全国其他地区质监部门集中开展特种设备隐患排查治理和监督检查工作，为国庆60周年创造良好氛围。</w:t>
            </w:r>
          </w:p>
          <w:p w:rsidR="0058212D" w:rsidRPr="0058212D" w:rsidRDefault="0058212D" w:rsidP="0058212D">
            <w:pPr>
              <w:wordWrap w:val="0"/>
              <w:adjustRightInd/>
              <w:snapToGrid/>
              <w:spacing w:after="0" w:line="600" w:lineRule="atLeast"/>
              <w:ind w:firstLine="643"/>
              <w:rPr>
                <w:rFonts w:ascii="宋体" w:eastAsia="宋体" w:hAnsi="宋体" w:cs="宋体"/>
                <w:color w:val="000000"/>
                <w:sz w:val="18"/>
                <w:szCs w:val="18"/>
              </w:rPr>
            </w:pPr>
            <w:r w:rsidRPr="0058212D">
              <w:rPr>
                <w:rFonts w:ascii="方正楷体简体" w:eastAsia="方正楷体简体" w:hAnsi="宋体" w:cs="宋体" w:hint="eastAsia"/>
                <w:b/>
                <w:color w:val="000000"/>
                <w:sz w:val="32"/>
                <w:szCs w:val="32"/>
              </w:rPr>
              <w:t>（三）积极服务经济平稳较快发展。</w:t>
            </w:r>
            <w:r w:rsidRPr="0058212D">
              <w:rPr>
                <w:rFonts w:ascii="方正仿宋简体" w:eastAsia="方正仿宋简体" w:hAnsi="宋体" w:cs="宋体" w:hint="eastAsia"/>
                <w:color w:val="000000"/>
                <w:sz w:val="32"/>
                <w:szCs w:val="32"/>
              </w:rPr>
              <w:t>积极推进高耗能特种设备节能降耗，全年推动实现节约标准煤1271万吨。服务装备制造业和石化产业调整振兴，推广应用新技术等措施，降低设备制造特别是大型成套石化装置安装、检修和运营成本，探索在工业园区建立公共检测技术服务平台等措施，促进压力管道元件产业集群健康发展。服务重大</w:t>
            </w:r>
            <w:r w:rsidRPr="0058212D">
              <w:rPr>
                <w:rFonts w:ascii="方正仿宋简体" w:eastAsia="方正仿宋简体" w:hAnsi="宋体" w:cs="宋体" w:hint="eastAsia"/>
                <w:color w:val="000000"/>
                <w:sz w:val="32"/>
                <w:szCs w:val="32"/>
              </w:rPr>
              <w:lastRenderedPageBreak/>
              <w:t>工程和重大活动，组织做好西气东输二线、高速铁路公路、神华煤直接液化等重大项目和春节、“两会”、花博会、世博会、全运会、大冬会、亚运会、西博会、博鳌论坛等重大活动相关特种设备安全保障工作。</w:t>
            </w:r>
          </w:p>
          <w:p w:rsidR="0058212D" w:rsidRPr="0058212D" w:rsidRDefault="0058212D" w:rsidP="0058212D">
            <w:pPr>
              <w:wordWrap w:val="0"/>
              <w:adjustRightInd/>
              <w:snapToGrid/>
              <w:spacing w:after="0" w:line="600" w:lineRule="atLeast"/>
              <w:ind w:firstLine="643"/>
              <w:rPr>
                <w:rFonts w:ascii="宋体" w:eastAsia="宋体" w:hAnsi="宋体" w:cs="宋体"/>
                <w:color w:val="000000"/>
                <w:sz w:val="18"/>
                <w:szCs w:val="18"/>
              </w:rPr>
            </w:pPr>
            <w:r w:rsidRPr="0058212D">
              <w:rPr>
                <w:rFonts w:ascii="方正楷体简体" w:eastAsia="方正楷体简体" w:hAnsi="宋体" w:cs="宋体" w:hint="eastAsia"/>
                <w:b/>
                <w:color w:val="000000"/>
                <w:sz w:val="32"/>
                <w:szCs w:val="32"/>
              </w:rPr>
              <w:t>（四）着力推进工作机制改革创新。</w:t>
            </w:r>
            <w:r w:rsidRPr="0058212D">
              <w:rPr>
                <w:rFonts w:ascii="方正仿宋简体" w:eastAsia="方正仿宋简体" w:hAnsi="宋体" w:cs="宋体" w:hint="eastAsia"/>
                <w:color w:val="000000"/>
                <w:sz w:val="32"/>
                <w:szCs w:val="32"/>
              </w:rPr>
              <w:t>建立战略管理机制，研究制定了《特种设备安全发展战略纲要》，法规标准体系战略、“十二五”特种设备安全科技规划等取得积极进展。深化行政许可改革，下放许可权限，合理调整压力管道元件制造许可条件，延长作业人员证书复审期限，建立全国特种设备公示查询网。探索检验工作改革，科学调整电梯监督检验与定期检验方式和项目，建立科技投入和宣传教育保障机制。</w:t>
            </w:r>
          </w:p>
          <w:p w:rsidR="0058212D" w:rsidRPr="0058212D" w:rsidRDefault="0058212D" w:rsidP="0058212D">
            <w:pPr>
              <w:wordWrap w:val="0"/>
              <w:adjustRightInd/>
              <w:snapToGrid/>
              <w:spacing w:after="0" w:line="600" w:lineRule="atLeast"/>
              <w:ind w:firstLine="643"/>
              <w:rPr>
                <w:rFonts w:ascii="宋体" w:eastAsia="宋体" w:hAnsi="宋体" w:cs="宋体"/>
                <w:color w:val="000000"/>
                <w:sz w:val="18"/>
                <w:szCs w:val="18"/>
              </w:rPr>
            </w:pPr>
            <w:r w:rsidRPr="0058212D">
              <w:rPr>
                <w:rFonts w:ascii="方正楷体简体" w:eastAsia="方正楷体简体" w:hAnsi="宋体" w:cs="宋体" w:hint="eastAsia"/>
                <w:b/>
                <w:color w:val="000000"/>
                <w:sz w:val="32"/>
                <w:szCs w:val="32"/>
              </w:rPr>
              <w:t>（五）切实加强基础工作和自身建设。</w:t>
            </w:r>
            <w:r w:rsidRPr="0058212D">
              <w:rPr>
                <w:rFonts w:ascii="方正仿宋简体" w:eastAsia="方正仿宋简体" w:hAnsi="宋体" w:cs="宋体" w:hint="eastAsia"/>
                <w:color w:val="000000"/>
                <w:sz w:val="32"/>
                <w:szCs w:val="32"/>
              </w:rPr>
              <w:t>积极推进法规标准、动态监管、安全责任、风险管理、绩效评价和科技支撑6个工作体系建设。特种设备安全法立法工作取得积极进展，完成了条例修改，制定了2个规章，制修订13个安全技术规范。积极探索落实地方政府责任、多部门联动和责任考评机制、企业安全管理标准化、安全责任保险等。积极推进基于风险的分类监管，事故调查处理及应急管理专门机构和队伍、多部门协调机制和事故数据库、预案库、专家库不断完善，组织开展了大量应急演练。扩大安全监察机构绩效评价试点应用。成立全国特种设备科技协作平台，组织“十一五”国家科技支撑计划项目“生命</w:t>
            </w:r>
            <w:r w:rsidRPr="0058212D">
              <w:rPr>
                <w:rFonts w:ascii="方正仿宋简体" w:eastAsia="方正仿宋简体" w:hAnsi="宋体" w:cs="宋体" w:hint="eastAsia"/>
                <w:color w:val="000000"/>
                <w:sz w:val="32"/>
                <w:szCs w:val="32"/>
              </w:rPr>
              <w:lastRenderedPageBreak/>
              <w:t>线工程安全保障关键技术与工程示范”验收。</w:t>
            </w:r>
          </w:p>
          <w:p w:rsidR="0058212D" w:rsidRPr="0058212D" w:rsidRDefault="0058212D" w:rsidP="0058212D">
            <w:pPr>
              <w:wordWrap w:val="0"/>
              <w:adjustRightInd/>
              <w:snapToGrid/>
              <w:spacing w:after="0" w:line="600" w:lineRule="atLeast"/>
              <w:ind w:firstLine="640"/>
              <w:rPr>
                <w:rFonts w:ascii="宋体" w:eastAsia="宋体" w:hAnsi="宋体" w:cs="宋体"/>
                <w:color w:val="000000"/>
                <w:sz w:val="18"/>
                <w:szCs w:val="18"/>
              </w:rPr>
            </w:pPr>
            <w:r w:rsidRPr="0058212D">
              <w:rPr>
                <w:rFonts w:ascii="方正黑体简体" w:eastAsia="方正黑体简体" w:hAnsi="宋体" w:cs="宋体" w:hint="eastAsia"/>
                <w:color w:val="000000"/>
                <w:sz w:val="32"/>
                <w:szCs w:val="32"/>
              </w:rPr>
              <w:t>四、2010年特种设备安全监察工作重点</w:t>
            </w:r>
          </w:p>
          <w:p w:rsidR="0058212D" w:rsidRPr="0058212D" w:rsidRDefault="0058212D" w:rsidP="0058212D">
            <w:pPr>
              <w:wordWrap w:val="0"/>
              <w:adjustRightInd/>
              <w:snapToGrid/>
              <w:spacing w:after="0" w:line="600" w:lineRule="atLeast"/>
              <w:ind w:firstLine="640"/>
              <w:rPr>
                <w:rFonts w:ascii="宋体" w:eastAsia="宋体" w:hAnsi="宋体" w:cs="宋体"/>
                <w:color w:val="000000"/>
                <w:sz w:val="18"/>
                <w:szCs w:val="18"/>
              </w:rPr>
            </w:pPr>
            <w:bookmarkStart w:id="0" w:name="OLE_LINK1"/>
            <w:r w:rsidRPr="0058212D">
              <w:rPr>
                <w:rFonts w:ascii="方正仿宋简体" w:eastAsia="方正仿宋简体" w:hAnsi="宋体" w:cs="宋体" w:hint="eastAsia"/>
                <w:color w:val="000000"/>
                <w:sz w:val="32"/>
                <w:szCs w:val="32"/>
              </w:rPr>
              <w:t>按照国务院继续深入开展“安全生产年”活动和总局大力开展“质量提升”活动的部署，围绕安全生产工作“三个突出”、“三个加强”以及总局加快建立大质量工作机制、大质检文化的总体要求，重点抓好五大方面的工作：一是狠抓特种设备使用环节安全监管，严防重特大事故。完善使用环节安全监管规章规范，创新使用环节安全监管机制，加强事故多发设备和薄弱环节的监管，加强对特种设备作业人员的监管。二是全面推进高耗能特种设备节能工作，促进发展方式转变和经济结构调整。完善节能监管的工作格局、有效机制和方法措施，实施节能工程，扎实推进规范标准、技术能力、宣传教育等节能监管基础工作。三是创新服务经济平稳较快发展的有效措施，促进经济社会又好又快发展。采取优化规范标准、改进行政许可、推广新材料新工艺新技术、推进技术机构建设、提供管理和技术服务等措施，积极服务装备制造和石化等重点产业调整振兴、区域经济发展和国家重点工程建设，</w:t>
            </w:r>
            <w:bookmarkStart w:id="1" w:name="OLE_LINK2"/>
            <w:bookmarkEnd w:id="0"/>
            <w:r w:rsidRPr="0058212D">
              <w:rPr>
                <w:rFonts w:ascii="方正仿宋简体" w:eastAsia="方正仿宋简体" w:hAnsi="宋体" w:cs="宋体" w:hint="eastAsia"/>
                <w:color w:val="000000"/>
                <w:sz w:val="32"/>
                <w:szCs w:val="32"/>
              </w:rPr>
              <w:t>做好重大节假日、重大活动的特种设备安全保障工作。</w:t>
            </w:r>
            <w:bookmarkEnd w:id="1"/>
            <w:r w:rsidRPr="0058212D">
              <w:rPr>
                <w:rFonts w:ascii="方正仿宋简体" w:eastAsia="方正仿宋简体" w:hAnsi="宋体" w:cs="宋体" w:hint="eastAsia"/>
                <w:color w:val="000000"/>
                <w:sz w:val="32"/>
                <w:szCs w:val="32"/>
              </w:rPr>
              <w:t>四是积极稳妥推进行政许可和检验工作改革，完善安全监察工作的体制机制。科学合理调整行政许可类别、级别和条件，合并、减少行政许可项目，下放行政许可权限。研究检验工作改革试点方案，加强对检验工作和检验机构的管理。</w:t>
            </w:r>
            <w:r w:rsidRPr="0058212D">
              <w:rPr>
                <w:rFonts w:ascii="方正仿宋简体" w:eastAsia="方正仿宋简体" w:hAnsi="宋体" w:cs="宋体" w:hint="eastAsia"/>
                <w:color w:val="000000"/>
                <w:sz w:val="32"/>
                <w:szCs w:val="32"/>
              </w:rPr>
              <w:lastRenderedPageBreak/>
              <w:t>五是着力抓好基础和基层建设，夯实特种设备安全与节能工作基础。加强监管理论研究和战略管理，不断完善六个工作体系，着力加强基层能力建设，推进大质量工作机制和大质检文化建设，加强队伍和行风建设，积极开展宣传教育和国际合作交流。</w:t>
            </w:r>
          </w:p>
        </w:tc>
      </w:tr>
    </w:tbl>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方正仿宋简体">
    <w:altName w:val="宋体"/>
    <w:panose1 w:val="00000000000000000000"/>
    <w:charset w:val="86"/>
    <w:family w:val="roman"/>
    <w:notTrueType/>
    <w:pitch w:val="default"/>
    <w:sig w:usb0="00000001" w:usb1="080E0000" w:usb2="00000010" w:usb3="00000000" w:csb0="00040000" w:csb1="00000000"/>
  </w:font>
  <w:font w:name="方正黑体简体">
    <w:altName w:val="宋体"/>
    <w:panose1 w:val="00000000000000000000"/>
    <w:charset w:val="86"/>
    <w:family w:val="roman"/>
    <w:notTrueType/>
    <w:pitch w:val="default"/>
    <w:sig w:usb0="00000001" w:usb1="080E0000" w:usb2="00000010" w:usb3="00000000" w:csb0="00040000" w:csb1="00000000"/>
  </w:font>
  <w:font w:name="方正楷体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58212D"/>
    <w:rsid w:val="000044D8"/>
    <w:rsid w:val="00005EB1"/>
    <w:rsid w:val="00014C5E"/>
    <w:rsid w:val="00014F06"/>
    <w:rsid w:val="00023B5E"/>
    <w:rsid w:val="00034707"/>
    <w:rsid w:val="0004066B"/>
    <w:rsid w:val="00045076"/>
    <w:rsid w:val="000512A0"/>
    <w:rsid w:val="00051B3F"/>
    <w:rsid w:val="00052428"/>
    <w:rsid w:val="00052E2B"/>
    <w:rsid w:val="000545CE"/>
    <w:rsid w:val="00057F2E"/>
    <w:rsid w:val="0006066A"/>
    <w:rsid w:val="00061D11"/>
    <w:rsid w:val="000735DC"/>
    <w:rsid w:val="00073E7B"/>
    <w:rsid w:val="00076402"/>
    <w:rsid w:val="0008191E"/>
    <w:rsid w:val="00082013"/>
    <w:rsid w:val="00087D9A"/>
    <w:rsid w:val="000905D1"/>
    <w:rsid w:val="0009233A"/>
    <w:rsid w:val="00093CDC"/>
    <w:rsid w:val="0009419F"/>
    <w:rsid w:val="00095876"/>
    <w:rsid w:val="00096AB4"/>
    <w:rsid w:val="000A1138"/>
    <w:rsid w:val="000A473A"/>
    <w:rsid w:val="000B3DEB"/>
    <w:rsid w:val="000D5D92"/>
    <w:rsid w:val="000D6EE6"/>
    <w:rsid w:val="000F0123"/>
    <w:rsid w:val="001014B3"/>
    <w:rsid w:val="00101B39"/>
    <w:rsid w:val="0010319B"/>
    <w:rsid w:val="00107B22"/>
    <w:rsid w:val="00116986"/>
    <w:rsid w:val="00133F8D"/>
    <w:rsid w:val="00134CAD"/>
    <w:rsid w:val="00135C23"/>
    <w:rsid w:val="001447D9"/>
    <w:rsid w:val="00144CC5"/>
    <w:rsid w:val="00145AAA"/>
    <w:rsid w:val="001503DC"/>
    <w:rsid w:val="001516F1"/>
    <w:rsid w:val="00155675"/>
    <w:rsid w:val="001613B7"/>
    <w:rsid w:val="00165D12"/>
    <w:rsid w:val="00167872"/>
    <w:rsid w:val="0017664F"/>
    <w:rsid w:val="00176AE7"/>
    <w:rsid w:val="00176DA8"/>
    <w:rsid w:val="00177D99"/>
    <w:rsid w:val="001869C1"/>
    <w:rsid w:val="00193C72"/>
    <w:rsid w:val="0019548F"/>
    <w:rsid w:val="001A0298"/>
    <w:rsid w:val="001A3988"/>
    <w:rsid w:val="001A489A"/>
    <w:rsid w:val="001B2CC4"/>
    <w:rsid w:val="001B6339"/>
    <w:rsid w:val="001B7CE7"/>
    <w:rsid w:val="001C7FA1"/>
    <w:rsid w:val="001D030D"/>
    <w:rsid w:val="001D066F"/>
    <w:rsid w:val="001E3B02"/>
    <w:rsid w:val="001F3DA8"/>
    <w:rsid w:val="001F66BD"/>
    <w:rsid w:val="001F7266"/>
    <w:rsid w:val="001F746E"/>
    <w:rsid w:val="00203D76"/>
    <w:rsid w:val="00203FB4"/>
    <w:rsid w:val="0021009E"/>
    <w:rsid w:val="00221B2B"/>
    <w:rsid w:val="00226184"/>
    <w:rsid w:val="00236005"/>
    <w:rsid w:val="00244CBA"/>
    <w:rsid w:val="00250EC8"/>
    <w:rsid w:val="002535AE"/>
    <w:rsid w:val="00255B1B"/>
    <w:rsid w:val="00257D55"/>
    <w:rsid w:val="00265109"/>
    <w:rsid w:val="002724C6"/>
    <w:rsid w:val="00273573"/>
    <w:rsid w:val="00274FCB"/>
    <w:rsid w:val="00277716"/>
    <w:rsid w:val="00290A7A"/>
    <w:rsid w:val="00292075"/>
    <w:rsid w:val="00293451"/>
    <w:rsid w:val="00294586"/>
    <w:rsid w:val="00296D60"/>
    <w:rsid w:val="002973FF"/>
    <w:rsid w:val="00297558"/>
    <w:rsid w:val="002A1B78"/>
    <w:rsid w:val="002A3E19"/>
    <w:rsid w:val="002A6E2A"/>
    <w:rsid w:val="002A796B"/>
    <w:rsid w:val="002B1A8A"/>
    <w:rsid w:val="002B443A"/>
    <w:rsid w:val="002B6E9F"/>
    <w:rsid w:val="002C066B"/>
    <w:rsid w:val="002C37C5"/>
    <w:rsid w:val="002C5B75"/>
    <w:rsid w:val="002C6B8F"/>
    <w:rsid w:val="002D4C35"/>
    <w:rsid w:val="002D7540"/>
    <w:rsid w:val="002E051F"/>
    <w:rsid w:val="002E1F69"/>
    <w:rsid w:val="002E23C0"/>
    <w:rsid w:val="002E2C30"/>
    <w:rsid w:val="002E5357"/>
    <w:rsid w:val="002E6B59"/>
    <w:rsid w:val="002E7026"/>
    <w:rsid w:val="002F14D4"/>
    <w:rsid w:val="002F202B"/>
    <w:rsid w:val="002F57A3"/>
    <w:rsid w:val="002F738D"/>
    <w:rsid w:val="00301C6B"/>
    <w:rsid w:val="00306A27"/>
    <w:rsid w:val="00312188"/>
    <w:rsid w:val="003148D6"/>
    <w:rsid w:val="003150DD"/>
    <w:rsid w:val="00315A6B"/>
    <w:rsid w:val="00316D28"/>
    <w:rsid w:val="003173FB"/>
    <w:rsid w:val="00317D57"/>
    <w:rsid w:val="00320032"/>
    <w:rsid w:val="00320FBF"/>
    <w:rsid w:val="00322341"/>
    <w:rsid w:val="00323B43"/>
    <w:rsid w:val="00325E89"/>
    <w:rsid w:val="00327C64"/>
    <w:rsid w:val="00327C73"/>
    <w:rsid w:val="00330657"/>
    <w:rsid w:val="00330E3F"/>
    <w:rsid w:val="00331967"/>
    <w:rsid w:val="003319B3"/>
    <w:rsid w:val="00331D4B"/>
    <w:rsid w:val="003334FD"/>
    <w:rsid w:val="00334902"/>
    <w:rsid w:val="0033604F"/>
    <w:rsid w:val="00342A6E"/>
    <w:rsid w:val="003444C7"/>
    <w:rsid w:val="00345CAD"/>
    <w:rsid w:val="00350D6B"/>
    <w:rsid w:val="0035667B"/>
    <w:rsid w:val="003571FA"/>
    <w:rsid w:val="00357AB6"/>
    <w:rsid w:val="0036142A"/>
    <w:rsid w:val="00362978"/>
    <w:rsid w:val="00363F14"/>
    <w:rsid w:val="003657B0"/>
    <w:rsid w:val="00365C37"/>
    <w:rsid w:val="00371D6C"/>
    <w:rsid w:val="00372676"/>
    <w:rsid w:val="003814B7"/>
    <w:rsid w:val="003820DF"/>
    <w:rsid w:val="00382B28"/>
    <w:rsid w:val="00387B1C"/>
    <w:rsid w:val="003932B3"/>
    <w:rsid w:val="00393FF4"/>
    <w:rsid w:val="003963EC"/>
    <w:rsid w:val="00396DCE"/>
    <w:rsid w:val="003978C8"/>
    <w:rsid w:val="003A1089"/>
    <w:rsid w:val="003B29D6"/>
    <w:rsid w:val="003B2A71"/>
    <w:rsid w:val="003B62F0"/>
    <w:rsid w:val="003B669E"/>
    <w:rsid w:val="003C0FDF"/>
    <w:rsid w:val="003C449A"/>
    <w:rsid w:val="003D32F9"/>
    <w:rsid w:val="003D37D8"/>
    <w:rsid w:val="003D457E"/>
    <w:rsid w:val="003E2917"/>
    <w:rsid w:val="003E5319"/>
    <w:rsid w:val="003E67AE"/>
    <w:rsid w:val="003F21B1"/>
    <w:rsid w:val="003F2DE9"/>
    <w:rsid w:val="003F4C9E"/>
    <w:rsid w:val="00401477"/>
    <w:rsid w:val="00407538"/>
    <w:rsid w:val="00412147"/>
    <w:rsid w:val="00417095"/>
    <w:rsid w:val="00417EF4"/>
    <w:rsid w:val="00420C79"/>
    <w:rsid w:val="00424F05"/>
    <w:rsid w:val="00425218"/>
    <w:rsid w:val="00434AF2"/>
    <w:rsid w:val="004358AB"/>
    <w:rsid w:val="004361B9"/>
    <w:rsid w:val="00445A77"/>
    <w:rsid w:val="00446F6C"/>
    <w:rsid w:val="00456BCF"/>
    <w:rsid w:val="00463064"/>
    <w:rsid w:val="0046470F"/>
    <w:rsid w:val="004650C5"/>
    <w:rsid w:val="0047323B"/>
    <w:rsid w:val="00475350"/>
    <w:rsid w:val="00476A29"/>
    <w:rsid w:val="004825B8"/>
    <w:rsid w:val="004955BA"/>
    <w:rsid w:val="00497C6E"/>
    <w:rsid w:val="004A442F"/>
    <w:rsid w:val="004B244A"/>
    <w:rsid w:val="004B54AD"/>
    <w:rsid w:val="004B6062"/>
    <w:rsid w:val="004C1724"/>
    <w:rsid w:val="004C2649"/>
    <w:rsid w:val="004C329E"/>
    <w:rsid w:val="004C56DC"/>
    <w:rsid w:val="004C5C78"/>
    <w:rsid w:val="004C72EC"/>
    <w:rsid w:val="004D00DD"/>
    <w:rsid w:val="004D27C0"/>
    <w:rsid w:val="004D45A0"/>
    <w:rsid w:val="004D5E41"/>
    <w:rsid w:val="004E7C51"/>
    <w:rsid w:val="004F2A83"/>
    <w:rsid w:val="004F644A"/>
    <w:rsid w:val="004F6DE0"/>
    <w:rsid w:val="00510291"/>
    <w:rsid w:val="00510E6B"/>
    <w:rsid w:val="005163E1"/>
    <w:rsid w:val="0052024A"/>
    <w:rsid w:val="00532AD9"/>
    <w:rsid w:val="00533028"/>
    <w:rsid w:val="005343E8"/>
    <w:rsid w:val="00534FE5"/>
    <w:rsid w:val="00541A8A"/>
    <w:rsid w:val="005430B1"/>
    <w:rsid w:val="00543312"/>
    <w:rsid w:val="00547BFC"/>
    <w:rsid w:val="00547F8A"/>
    <w:rsid w:val="00561D3B"/>
    <w:rsid w:val="005669D5"/>
    <w:rsid w:val="00566BE8"/>
    <w:rsid w:val="00570956"/>
    <w:rsid w:val="00570C4E"/>
    <w:rsid w:val="005725DB"/>
    <w:rsid w:val="00573138"/>
    <w:rsid w:val="00573C1B"/>
    <w:rsid w:val="005772F9"/>
    <w:rsid w:val="00580FD8"/>
    <w:rsid w:val="0058212D"/>
    <w:rsid w:val="00582CA5"/>
    <w:rsid w:val="005838BA"/>
    <w:rsid w:val="0058736D"/>
    <w:rsid w:val="00590A64"/>
    <w:rsid w:val="00594042"/>
    <w:rsid w:val="0059444F"/>
    <w:rsid w:val="00595420"/>
    <w:rsid w:val="005A1AA7"/>
    <w:rsid w:val="005A347C"/>
    <w:rsid w:val="005A6C3F"/>
    <w:rsid w:val="005A777B"/>
    <w:rsid w:val="005B560A"/>
    <w:rsid w:val="005C147D"/>
    <w:rsid w:val="005C429A"/>
    <w:rsid w:val="005C6478"/>
    <w:rsid w:val="005C6E0C"/>
    <w:rsid w:val="005C7679"/>
    <w:rsid w:val="005D0B6D"/>
    <w:rsid w:val="005D286E"/>
    <w:rsid w:val="005D43D1"/>
    <w:rsid w:val="005D74C8"/>
    <w:rsid w:val="005E441A"/>
    <w:rsid w:val="005E4C39"/>
    <w:rsid w:val="00600533"/>
    <w:rsid w:val="00604CC0"/>
    <w:rsid w:val="00624C49"/>
    <w:rsid w:val="006263BB"/>
    <w:rsid w:val="006278E4"/>
    <w:rsid w:val="00634296"/>
    <w:rsid w:val="006376C8"/>
    <w:rsid w:val="00642D4C"/>
    <w:rsid w:val="0064591C"/>
    <w:rsid w:val="006479ED"/>
    <w:rsid w:val="006519B7"/>
    <w:rsid w:val="0065794F"/>
    <w:rsid w:val="00660721"/>
    <w:rsid w:val="00661D62"/>
    <w:rsid w:val="0066450F"/>
    <w:rsid w:val="00675297"/>
    <w:rsid w:val="00676CE1"/>
    <w:rsid w:val="00676D0E"/>
    <w:rsid w:val="006870D8"/>
    <w:rsid w:val="006875E0"/>
    <w:rsid w:val="00694204"/>
    <w:rsid w:val="00695FB8"/>
    <w:rsid w:val="006A205B"/>
    <w:rsid w:val="006A6044"/>
    <w:rsid w:val="006B20FA"/>
    <w:rsid w:val="006B218D"/>
    <w:rsid w:val="006C527F"/>
    <w:rsid w:val="006C5618"/>
    <w:rsid w:val="006C6372"/>
    <w:rsid w:val="006D1E2A"/>
    <w:rsid w:val="006D20B0"/>
    <w:rsid w:val="006D2D0C"/>
    <w:rsid w:val="006D31C7"/>
    <w:rsid w:val="006D3DBD"/>
    <w:rsid w:val="006E3911"/>
    <w:rsid w:val="006E6BA9"/>
    <w:rsid w:val="006F23CA"/>
    <w:rsid w:val="006F358B"/>
    <w:rsid w:val="0070419D"/>
    <w:rsid w:val="0070532B"/>
    <w:rsid w:val="00712F74"/>
    <w:rsid w:val="00721C2C"/>
    <w:rsid w:val="007302B1"/>
    <w:rsid w:val="007309DA"/>
    <w:rsid w:val="00734832"/>
    <w:rsid w:val="007350A0"/>
    <w:rsid w:val="00735F05"/>
    <w:rsid w:val="0073714F"/>
    <w:rsid w:val="0074381D"/>
    <w:rsid w:val="007455D5"/>
    <w:rsid w:val="00745BBE"/>
    <w:rsid w:val="00753A46"/>
    <w:rsid w:val="0075633B"/>
    <w:rsid w:val="007567AF"/>
    <w:rsid w:val="00757348"/>
    <w:rsid w:val="007575B7"/>
    <w:rsid w:val="00763201"/>
    <w:rsid w:val="00764032"/>
    <w:rsid w:val="00767470"/>
    <w:rsid w:val="00767FBB"/>
    <w:rsid w:val="00771DF7"/>
    <w:rsid w:val="0077398D"/>
    <w:rsid w:val="007745F2"/>
    <w:rsid w:val="00774601"/>
    <w:rsid w:val="00782058"/>
    <w:rsid w:val="00783233"/>
    <w:rsid w:val="00785F02"/>
    <w:rsid w:val="00786A5C"/>
    <w:rsid w:val="007949DD"/>
    <w:rsid w:val="00795798"/>
    <w:rsid w:val="007A0E7E"/>
    <w:rsid w:val="007A1FA2"/>
    <w:rsid w:val="007B1446"/>
    <w:rsid w:val="007B4F80"/>
    <w:rsid w:val="007B6737"/>
    <w:rsid w:val="007C1085"/>
    <w:rsid w:val="007C1C48"/>
    <w:rsid w:val="007C2C31"/>
    <w:rsid w:val="007C5F53"/>
    <w:rsid w:val="007D13AA"/>
    <w:rsid w:val="007D22B4"/>
    <w:rsid w:val="007D253C"/>
    <w:rsid w:val="007D5300"/>
    <w:rsid w:val="007D7BE9"/>
    <w:rsid w:val="007E313B"/>
    <w:rsid w:val="007F025C"/>
    <w:rsid w:val="007F052C"/>
    <w:rsid w:val="007F05F5"/>
    <w:rsid w:val="007F1BF2"/>
    <w:rsid w:val="00817BAA"/>
    <w:rsid w:val="00830121"/>
    <w:rsid w:val="008324C9"/>
    <w:rsid w:val="00841AC7"/>
    <w:rsid w:val="00842119"/>
    <w:rsid w:val="00851D85"/>
    <w:rsid w:val="00853046"/>
    <w:rsid w:val="00857C79"/>
    <w:rsid w:val="00862948"/>
    <w:rsid w:val="00875D8B"/>
    <w:rsid w:val="00876AA7"/>
    <w:rsid w:val="0088194B"/>
    <w:rsid w:val="00881A69"/>
    <w:rsid w:val="008844D2"/>
    <w:rsid w:val="008912F9"/>
    <w:rsid w:val="00893434"/>
    <w:rsid w:val="008A0404"/>
    <w:rsid w:val="008A07FF"/>
    <w:rsid w:val="008A169F"/>
    <w:rsid w:val="008A4FBC"/>
    <w:rsid w:val="008A65FE"/>
    <w:rsid w:val="008B1251"/>
    <w:rsid w:val="008B2F04"/>
    <w:rsid w:val="008B2FC9"/>
    <w:rsid w:val="008B3ABD"/>
    <w:rsid w:val="008B5C7D"/>
    <w:rsid w:val="008B67CD"/>
    <w:rsid w:val="008B7726"/>
    <w:rsid w:val="008C75A4"/>
    <w:rsid w:val="008C7D20"/>
    <w:rsid w:val="008C7E53"/>
    <w:rsid w:val="008D02C3"/>
    <w:rsid w:val="008D0705"/>
    <w:rsid w:val="008D26B7"/>
    <w:rsid w:val="008D3246"/>
    <w:rsid w:val="008D32D3"/>
    <w:rsid w:val="008D3702"/>
    <w:rsid w:val="008D46DF"/>
    <w:rsid w:val="008D5AD9"/>
    <w:rsid w:val="008D6CBB"/>
    <w:rsid w:val="008D7BE9"/>
    <w:rsid w:val="008E53FF"/>
    <w:rsid w:val="008F3AEA"/>
    <w:rsid w:val="008F6CDA"/>
    <w:rsid w:val="008F71B5"/>
    <w:rsid w:val="009011DD"/>
    <w:rsid w:val="00903699"/>
    <w:rsid w:val="00904945"/>
    <w:rsid w:val="00904B1E"/>
    <w:rsid w:val="0090556C"/>
    <w:rsid w:val="00910469"/>
    <w:rsid w:val="00911E87"/>
    <w:rsid w:val="009140F7"/>
    <w:rsid w:val="00920335"/>
    <w:rsid w:val="00924748"/>
    <w:rsid w:val="009302CD"/>
    <w:rsid w:val="0093292B"/>
    <w:rsid w:val="00937B59"/>
    <w:rsid w:val="00940458"/>
    <w:rsid w:val="009445AC"/>
    <w:rsid w:val="00952FB7"/>
    <w:rsid w:val="00953C8D"/>
    <w:rsid w:val="00954E6E"/>
    <w:rsid w:val="00957348"/>
    <w:rsid w:val="00965D3B"/>
    <w:rsid w:val="009862EF"/>
    <w:rsid w:val="00986F84"/>
    <w:rsid w:val="00991052"/>
    <w:rsid w:val="00993BE2"/>
    <w:rsid w:val="00996914"/>
    <w:rsid w:val="009974E6"/>
    <w:rsid w:val="009A0BCF"/>
    <w:rsid w:val="009A6590"/>
    <w:rsid w:val="009B12B1"/>
    <w:rsid w:val="009B313C"/>
    <w:rsid w:val="009B446F"/>
    <w:rsid w:val="009B5D7E"/>
    <w:rsid w:val="009C790C"/>
    <w:rsid w:val="009D10F2"/>
    <w:rsid w:val="009D14C7"/>
    <w:rsid w:val="009D4E8E"/>
    <w:rsid w:val="009D5324"/>
    <w:rsid w:val="009E2D28"/>
    <w:rsid w:val="009E3758"/>
    <w:rsid w:val="009E59F5"/>
    <w:rsid w:val="009E5E91"/>
    <w:rsid w:val="009E5FAC"/>
    <w:rsid w:val="009F0D4D"/>
    <w:rsid w:val="009F14E5"/>
    <w:rsid w:val="009F45AA"/>
    <w:rsid w:val="009F4869"/>
    <w:rsid w:val="009F551D"/>
    <w:rsid w:val="009F588D"/>
    <w:rsid w:val="009F6FC2"/>
    <w:rsid w:val="00A008BC"/>
    <w:rsid w:val="00A011D7"/>
    <w:rsid w:val="00A03BB4"/>
    <w:rsid w:val="00A07FA8"/>
    <w:rsid w:val="00A10F32"/>
    <w:rsid w:val="00A13C8E"/>
    <w:rsid w:val="00A24AA9"/>
    <w:rsid w:val="00A262F5"/>
    <w:rsid w:val="00A34CE0"/>
    <w:rsid w:val="00A36A2A"/>
    <w:rsid w:val="00A36B1F"/>
    <w:rsid w:val="00A413F3"/>
    <w:rsid w:val="00A4205A"/>
    <w:rsid w:val="00A47BB8"/>
    <w:rsid w:val="00A540DD"/>
    <w:rsid w:val="00A56421"/>
    <w:rsid w:val="00A5735B"/>
    <w:rsid w:val="00A60D4A"/>
    <w:rsid w:val="00A74DD7"/>
    <w:rsid w:val="00A75D78"/>
    <w:rsid w:val="00A81A9E"/>
    <w:rsid w:val="00A84362"/>
    <w:rsid w:val="00A85818"/>
    <w:rsid w:val="00A8623C"/>
    <w:rsid w:val="00A8673F"/>
    <w:rsid w:val="00A87511"/>
    <w:rsid w:val="00A94949"/>
    <w:rsid w:val="00A9730B"/>
    <w:rsid w:val="00AA0491"/>
    <w:rsid w:val="00AA1079"/>
    <w:rsid w:val="00AA3214"/>
    <w:rsid w:val="00AA5983"/>
    <w:rsid w:val="00AA7006"/>
    <w:rsid w:val="00AA70EA"/>
    <w:rsid w:val="00AB1949"/>
    <w:rsid w:val="00AB45E3"/>
    <w:rsid w:val="00AB6297"/>
    <w:rsid w:val="00AC2A51"/>
    <w:rsid w:val="00AD3150"/>
    <w:rsid w:val="00AD4959"/>
    <w:rsid w:val="00AD4A95"/>
    <w:rsid w:val="00AD59DC"/>
    <w:rsid w:val="00AE1723"/>
    <w:rsid w:val="00AE3D74"/>
    <w:rsid w:val="00AE4D6A"/>
    <w:rsid w:val="00AE6A97"/>
    <w:rsid w:val="00AF2026"/>
    <w:rsid w:val="00AF5053"/>
    <w:rsid w:val="00AF54C1"/>
    <w:rsid w:val="00AF60B8"/>
    <w:rsid w:val="00B055B5"/>
    <w:rsid w:val="00B105CF"/>
    <w:rsid w:val="00B10E7C"/>
    <w:rsid w:val="00B155B7"/>
    <w:rsid w:val="00B2004E"/>
    <w:rsid w:val="00B23314"/>
    <w:rsid w:val="00B2482C"/>
    <w:rsid w:val="00B304F7"/>
    <w:rsid w:val="00B334E0"/>
    <w:rsid w:val="00B34061"/>
    <w:rsid w:val="00B34E7F"/>
    <w:rsid w:val="00B35579"/>
    <w:rsid w:val="00B3645B"/>
    <w:rsid w:val="00B36A30"/>
    <w:rsid w:val="00B36C28"/>
    <w:rsid w:val="00B376D8"/>
    <w:rsid w:val="00B37DE0"/>
    <w:rsid w:val="00B42F1A"/>
    <w:rsid w:val="00B509BC"/>
    <w:rsid w:val="00B50F48"/>
    <w:rsid w:val="00B532DF"/>
    <w:rsid w:val="00B54DD7"/>
    <w:rsid w:val="00B559D5"/>
    <w:rsid w:val="00B621EA"/>
    <w:rsid w:val="00B7078C"/>
    <w:rsid w:val="00B7253E"/>
    <w:rsid w:val="00B7565C"/>
    <w:rsid w:val="00B760CD"/>
    <w:rsid w:val="00B76FAD"/>
    <w:rsid w:val="00B80799"/>
    <w:rsid w:val="00B80C34"/>
    <w:rsid w:val="00B81502"/>
    <w:rsid w:val="00B87349"/>
    <w:rsid w:val="00B87B5D"/>
    <w:rsid w:val="00B87B8C"/>
    <w:rsid w:val="00B91C1C"/>
    <w:rsid w:val="00B94655"/>
    <w:rsid w:val="00B96747"/>
    <w:rsid w:val="00BA1B7D"/>
    <w:rsid w:val="00BB3AC5"/>
    <w:rsid w:val="00BB4637"/>
    <w:rsid w:val="00BB66D7"/>
    <w:rsid w:val="00BC1CCB"/>
    <w:rsid w:val="00BC71A2"/>
    <w:rsid w:val="00BD33F8"/>
    <w:rsid w:val="00BD3F76"/>
    <w:rsid w:val="00BD7EFC"/>
    <w:rsid w:val="00BE5C25"/>
    <w:rsid w:val="00BE6441"/>
    <w:rsid w:val="00BE769C"/>
    <w:rsid w:val="00BF1606"/>
    <w:rsid w:val="00BF2A8F"/>
    <w:rsid w:val="00BF4FEB"/>
    <w:rsid w:val="00C04CAC"/>
    <w:rsid w:val="00C07E0D"/>
    <w:rsid w:val="00C10C80"/>
    <w:rsid w:val="00C14327"/>
    <w:rsid w:val="00C1538F"/>
    <w:rsid w:val="00C15A2F"/>
    <w:rsid w:val="00C200B9"/>
    <w:rsid w:val="00C203EF"/>
    <w:rsid w:val="00C259A2"/>
    <w:rsid w:val="00C25CE7"/>
    <w:rsid w:val="00C26C0A"/>
    <w:rsid w:val="00C31181"/>
    <w:rsid w:val="00C41690"/>
    <w:rsid w:val="00C45593"/>
    <w:rsid w:val="00C46D2B"/>
    <w:rsid w:val="00C50EC8"/>
    <w:rsid w:val="00C53081"/>
    <w:rsid w:val="00C553E5"/>
    <w:rsid w:val="00C563FB"/>
    <w:rsid w:val="00C66A6B"/>
    <w:rsid w:val="00C71F47"/>
    <w:rsid w:val="00C75314"/>
    <w:rsid w:val="00C759C4"/>
    <w:rsid w:val="00C8144E"/>
    <w:rsid w:val="00C8376D"/>
    <w:rsid w:val="00C90FE9"/>
    <w:rsid w:val="00C92D83"/>
    <w:rsid w:val="00C92DFA"/>
    <w:rsid w:val="00C94663"/>
    <w:rsid w:val="00C95AB7"/>
    <w:rsid w:val="00C967FF"/>
    <w:rsid w:val="00CA3DD9"/>
    <w:rsid w:val="00CA4330"/>
    <w:rsid w:val="00CA7CD3"/>
    <w:rsid w:val="00CB1FA1"/>
    <w:rsid w:val="00CB70E3"/>
    <w:rsid w:val="00CC0EDD"/>
    <w:rsid w:val="00CC3F75"/>
    <w:rsid w:val="00CD2976"/>
    <w:rsid w:val="00CE2737"/>
    <w:rsid w:val="00CE5322"/>
    <w:rsid w:val="00CF0FAF"/>
    <w:rsid w:val="00CF625A"/>
    <w:rsid w:val="00D018B0"/>
    <w:rsid w:val="00D054C5"/>
    <w:rsid w:val="00D059E2"/>
    <w:rsid w:val="00D100BC"/>
    <w:rsid w:val="00D10483"/>
    <w:rsid w:val="00D122A1"/>
    <w:rsid w:val="00D16AB4"/>
    <w:rsid w:val="00D17C05"/>
    <w:rsid w:val="00D2039B"/>
    <w:rsid w:val="00D2230E"/>
    <w:rsid w:val="00D24D72"/>
    <w:rsid w:val="00D25D96"/>
    <w:rsid w:val="00D40AA6"/>
    <w:rsid w:val="00D450A3"/>
    <w:rsid w:val="00D5291C"/>
    <w:rsid w:val="00D52C45"/>
    <w:rsid w:val="00D52E0C"/>
    <w:rsid w:val="00D53D64"/>
    <w:rsid w:val="00D55C9A"/>
    <w:rsid w:val="00D55CA6"/>
    <w:rsid w:val="00D564BF"/>
    <w:rsid w:val="00D5742F"/>
    <w:rsid w:val="00D66497"/>
    <w:rsid w:val="00D664E3"/>
    <w:rsid w:val="00D7125C"/>
    <w:rsid w:val="00D84627"/>
    <w:rsid w:val="00D84C9A"/>
    <w:rsid w:val="00D87DE2"/>
    <w:rsid w:val="00D900E1"/>
    <w:rsid w:val="00D90611"/>
    <w:rsid w:val="00D93430"/>
    <w:rsid w:val="00D94E61"/>
    <w:rsid w:val="00D964D9"/>
    <w:rsid w:val="00D9741F"/>
    <w:rsid w:val="00D97B29"/>
    <w:rsid w:val="00DA0321"/>
    <w:rsid w:val="00DA1C8E"/>
    <w:rsid w:val="00DA1E03"/>
    <w:rsid w:val="00DA458E"/>
    <w:rsid w:val="00DA6B0C"/>
    <w:rsid w:val="00DB2BC0"/>
    <w:rsid w:val="00DB306A"/>
    <w:rsid w:val="00DB76B3"/>
    <w:rsid w:val="00DB7B5A"/>
    <w:rsid w:val="00DC2B23"/>
    <w:rsid w:val="00DC2E71"/>
    <w:rsid w:val="00DC488C"/>
    <w:rsid w:val="00DC5C4F"/>
    <w:rsid w:val="00DC62EC"/>
    <w:rsid w:val="00DD4F08"/>
    <w:rsid w:val="00DD6971"/>
    <w:rsid w:val="00DE073F"/>
    <w:rsid w:val="00DF323B"/>
    <w:rsid w:val="00DF3D23"/>
    <w:rsid w:val="00DF5640"/>
    <w:rsid w:val="00DF640A"/>
    <w:rsid w:val="00E04A53"/>
    <w:rsid w:val="00E07ECA"/>
    <w:rsid w:val="00E12D68"/>
    <w:rsid w:val="00E1685F"/>
    <w:rsid w:val="00E20A17"/>
    <w:rsid w:val="00E2203B"/>
    <w:rsid w:val="00E232DE"/>
    <w:rsid w:val="00E247F3"/>
    <w:rsid w:val="00E254EF"/>
    <w:rsid w:val="00E2676D"/>
    <w:rsid w:val="00E27813"/>
    <w:rsid w:val="00E309E9"/>
    <w:rsid w:val="00E30DE5"/>
    <w:rsid w:val="00E32BA1"/>
    <w:rsid w:val="00E35639"/>
    <w:rsid w:val="00E37EAE"/>
    <w:rsid w:val="00E41986"/>
    <w:rsid w:val="00E42166"/>
    <w:rsid w:val="00E55B67"/>
    <w:rsid w:val="00E608A0"/>
    <w:rsid w:val="00E61B1B"/>
    <w:rsid w:val="00E64AD5"/>
    <w:rsid w:val="00E66F2B"/>
    <w:rsid w:val="00E75700"/>
    <w:rsid w:val="00E8114F"/>
    <w:rsid w:val="00E82BEA"/>
    <w:rsid w:val="00E868EC"/>
    <w:rsid w:val="00E91498"/>
    <w:rsid w:val="00E917F3"/>
    <w:rsid w:val="00E936BF"/>
    <w:rsid w:val="00E9443A"/>
    <w:rsid w:val="00E95E25"/>
    <w:rsid w:val="00E96487"/>
    <w:rsid w:val="00E977DE"/>
    <w:rsid w:val="00EA00B4"/>
    <w:rsid w:val="00EA28F4"/>
    <w:rsid w:val="00EA4DAD"/>
    <w:rsid w:val="00EA73A5"/>
    <w:rsid w:val="00EA7EBB"/>
    <w:rsid w:val="00EB36F1"/>
    <w:rsid w:val="00EB698C"/>
    <w:rsid w:val="00EC034C"/>
    <w:rsid w:val="00EC11C7"/>
    <w:rsid w:val="00EC18B0"/>
    <w:rsid w:val="00ED0942"/>
    <w:rsid w:val="00ED2ECC"/>
    <w:rsid w:val="00ED460C"/>
    <w:rsid w:val="00EE26A5"/>
    <w:rsid w:val="00EE6F86"/>
    <w:rsid w:val="00EE7CCE"/>
    <w:rsid w:val="00EF364D"/>
    <w:rsid w:val="00EF38D0"/>
    <w:rsid w:val="00F020CF"/>
    <w:rsid w:val="00F059BD"/>
    <w:rsid w:val="00F11BB2"/>
    <w:rsid w:val="00F12386"/>
    <w:rsid w:val="00F1696F"/>
    <w:rsid w:val="00F30C27"/>
    <w:rsid w:val="00F34C7C"/>
    <w:rsid w:val="00F352E8"/>
    <w:rsid w:val="00F42E4D"/>
    <w:rsid w:val="00F44F6A"/>
    <w:rsid w:val="00F50C52"/>
    <w:rsid w:val="00F52024"/>
    <w:rsid w:val="00F62565"/>
    <w:rsid w:val="00F64E9F"/>
    <w:rsid w:val="00F74198"/>
    <w:rsid w:val="00F764DF"/>
    <w:rsid w:val="00F8494F"/>
    <w:rsid w:val="00F87C72"/>
    <w:rsid w:val="00F906D9"/>
    <w:rsid w:val="00F9339A"/>
    <w:rsid w:val="00FA0D49"/>
    <w:rsid w:val="00FA6A93"/>
    <w:rsid w:val="00FB4CD6"/>
    <w:rsid w:val="00FB6380"/>
    <w:rsid w:val="00FD4522"/>
    <w:rsid w:val="00FD4976"/>
    <w:rsid w:val="00FE6825"/>
    <w:rsid w:val="00FE765A"/>
    <w:rsid w:val="00FF3E6E"/>
    <w:rsid w:val="00FF4FD2"/>
    <w:rsid w:val="00FF68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212D"/>
    <w:pPr>
      <w:adjustRightInd/>
      <w:snapToGrid/>
      <w:spacing w:before="100" w:beforeAutospacing="1" w:after="100" w:afterAutospacing="1"/>
    </w:pPr>
    <w:rPr>
      <w:rFonts w:ascii="宋体" w:eastAsia="宋体" w:hAnsi="宋体" w:cs="宋体"/>
      <w:sz w:val="24"/>
      <w:szCs w:val="24"/>
    </w:rPr>
  </w:style>
  <w:style w:type="paragraph" w:styleId="a4">
    <w:name w:val="Balloon Text"/>
    <w:basedOn w:val="a"/>
    <w:link w:val="Char"/>
    <w:uiPriority w:val="99"/>
    <w:semiHidden/>
    <w:unhideWhenUsed/>
    <w:rsid w:val="0058212D"/>
    <w:pPr>
      <w:spacing w:after="0"/>
    </w:pPr>
    <w:rPr>
      <w:sz w:val="18"/>
      <w:szCs w:val="18"/>
    </w:rPr>
  </w:style>
  <w:style w:type="character" w:customStyle="1" w:styleId="Char">
    <w:name w:val="批注框文本 Char"/>
    <w:basedOn w:val="a0"/>
    <w:link w:val="a4"/>
    <w:uiPriority w:val="99"/>
    <w:semiHidden/>
    <w:rsid w:val="0058212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601</Words>
  <Characters>3428</Characters>
  <Application>Microsoft Office Word</Application>
  <DocSecurity>0</DocSecurity>
  <Lines>28</Lines>
  <Paragraphs>8</Paragraphs>
  <ScaleCrop>false</ScaleCrop>
  <Company>miura</Company>
  <LinksUpToDate>false</LinksUpToDate>
  <CharactersWithSpaces>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fxz</dc:creator>
  <cp:lastModifiedBy>fxz</cp:lastModifiedBy>
  <cp:revision>1</cp:revision>
  <dcterms:created xsi:type="dcterms:W3CDTF">2010-12-09T07:21:00Z</dcterms:created>
  <dcterms:modified xsi:type="dcterms:W3CDTF">2010-12-09T07:21:00Z</dcterms:modified>
</cp:coreProperties>
</file>